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DE" w:rsidRPr="00ED4130" w:rsidRDefault="003526DE" w:rsidP="003526D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ЗАКЛЮЧЕНИЕ № 6</w:t>
      </w:r>
    </w:p>
    <w:p w:rsidR="003526DE" w:rsidRPr="00ED4130" w:rsidRDefault="003526DE" w:rsidP="003526DE">
      <w:pPr>
        <w:ind w:left="1416" w:firstLine="708"/>
        <w:rPr>
          <w:sz w:val="28"/>
          <w:szCs w:val="28"/>
        </w:rPr>
      </w:pPr>
      <w:r w:rsidRPr="00ED4130">
        <w:rPr>
          <w:sz w:val="28"/>
          <w:szCs w:val="28"/>
        </w:rPr>
        <w:t xml:space="preserve">КОНТРОЛЬНО – СЧЕТНОГО ОРГАНА </w:t>
      </w:r>
    </w:p>
    <w:p w:rsidR="003526DE" w:rsidRPr="00ED4130" w:rsidRDefault="003526DE" w:rsidP="003526DE">
      <w:pPr>
        <w:jc w:val="center"/>
        <w:rPr>
          <w:sz w:val="28"/>
          <w:szCs w:val="28"/>
        </w:rPr>
      </w:pPr>
      <w:r w:rsidRPr="00ED4130">
        <w:rPr>
          <w:sz w:val="28"/>
          <w:szCs w:val="28"/>
        </w:rPr>
        <w:t>ОЛЬГИНСКОГО МУНИЦИПАЛЬНОГО РАЙОНА</w:t>
      </w:r>
    </w:p>
    <w:p w:rsidR="003526DE" w:rsidRPr="00ED4130" w:rsidRDefault="003526DE" w:rsidP="003526DE">
      <w:pPr>
        <w:tabs>
          <w:tab w:val="left" w:pos="7335"/>
        </w:tabs>
        <w:rPr>
          <w:sz w:val="28"/>
          <w:szCs w:val="28"/>
        </w:rPr>
      </w:pPr>
      <w:r w:rsidRPr="00ED4130">
        <w:rPr>
          <w:sz w:val="28"/>
          <w:szCs w:val="28"/>
        </w:rPr>
        <w:tab/>
      </w:r>
    </w:p>
    <w:p w:rsidR="003526DE" w:rsidRPr="00ED4130" w:rsidRDefault="003526DE" w:rsidP="003526DE">
      <w:pPr>
        <w:ind w:left="707" w:firstLine="373"/>
        <w:rPr>
          <w:sz w:val="28"/>
          <w:szCs w:val="28"/>
        </w:rPr>
      </w:pPr>
      <w:r w:rsidRPr="00ED4130">
        <w:rPr>
          <w:sz w:val="28"/>
          <w:szCs w:val="28"/>
        </w:rPr>
        <w:t>На проек</w:t>
      </w:r>
      <w:r>
        <w:rPr>
          <w:sz w:val="28"/>
          <w:szCs w:val="28"/>
        </w:rPr>
        <w:t>т бюджета Молдавановского сельского поселения</w:t>
      </w:r>
    </w:p>
    <w:p w:rsidR="003526DE" w:rsidRPr="00ED4130" w:rsidRDefault="003526DE" w:rsidP="003526DE">
      <w:pPr>
        <w:ind w:left="4247" w:hanging="2987"/>
        <w:rPr>
          <w:sz w:val="28"/>
          <w:szCs w:val="28"/>
        </w:rPr>
      </w:pPr>
      <w:r w:rsidRPr="00ED4130">
        <w:rPr>
          <w:sz w:val="28"/>
          <w:szCs w:val="28"/>
        </w:rPr>
        <w:t>на 2018 год и плановый период 2019 и 2020 годов</w:t>
      </w:r>
    </w:p>
    <w:p w:rsidR="003526DE" w:rsidRPr="00ED4130" w:rsidRDefault="003526DE" w:rsidP="003526DE">
      <w:pPr>
        <w:rPr>
          <w:sz w:val="28"/>
          <w:szCs w:val="28"/>
        </w:rPr>
      </w:pPr>
    </w:p>
    <w:p w:rsidR="003526DE" w:rsidRPr="00ED4130" w:rsidRDefault="00953E8F" w:rsidP="003526DE">
      <w:pPr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3526DE" w:rsidRPr="00ED4130">
        <w:rPr>
          <w:sz w:val="28"/>
          <w:szCs w:val="28"/>
        </w:rPr>
        <w:t xml:space="preserve"> 2017г.</w:t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ab/>
      </w:r>
      <w:r w:rsidR="003526DE"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>пгт. Ольга</w:t>
      </w:r>
    </w:p>
    <w:p w:rsidR="003526DE" w:rsidRPr="00ED4130" w:rsidRDefault="003526DE" w:rsidP="003526DE">
      <w:pPr>
        <w:spacing w:line="360" w:lineRule="auto"/>
        <w:jc w:val="both"/>
        <w:rPr>
          <w:b/>
          <w:sz w:val="28"/>
          <w:szCs w:val="28"/>
        </w:rPr>
      </w:pPr>
    </w:p>
    <w:p w:rsidR="003526DE" w:rsidRPr="00ED4130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Заключение Контрольно-счетного органа Ольгинского муниципального района на проек</w:t>
      </w:r>
      <w:r>
        <w:rPr>
          <w:sz w:val="28"/>
          <w:szCs w:val="28"/>
        </w:rPr>
        <w:t>т бюджета Молдавановского сельского</w:t>
      </w:r>
      <w:r w:rsidRPr="00ED4130">
        <w:rPr>
          <w:sz w:val="28"/>
          <w:szCs w:val="28"/>
        </w:rPr>
        <w:t xml:space="preserve"> поселения на 2018 год и плановый период 2019 и 2020 годов (далее - Заключение) подготовлено в соответствии с Бюджетным кодексом Российской Федерации, Положением «О бюджетном устройстве, бюджетном процессе и межбюджетных отношениях в</w:t>
      </w:r>
      <w:r>
        <w:rPr>
          <w:sz w:val="28"/>
          <w:szCs w:val="28"/>
        </w:rPr>
        <w:t xml:space="preserve"> Молдавановском сельском поселении</w:t>
      </w:r>
      <w:r w:rsidRPr="00ED4130">
        <w:rPr>
          <w:sz w:val="28"/>
          <w:szCs w:val="28"/>
        </w:rPr>
        <w:t xml:space="preserve">», принятого решением муниципального </w:t>
      </w:r>
      <w:r>
        <w:rPr>
          <w:sz w:val="28"/>
          <w:szCs w:val="28"/>
        </w:rPr>
        <w:t>комитета Молдавановского сельского поселения от 22 декабря 2016</w:t>
      </w:r>
      <w:r w:rsidRPr="00ED4130">
        <w:rPr>
          <w:sz w:val="28"/>
          <w:szCs w:val="28"/>
        </w:rPr>
        <w:t>г. и утвержденно</w:t>
      </w:r>
      <w:r>
        <w:rPr>
          <w:sz w:val="28"/>
          <w:szCs w:val="28"/>
        </w:rPr>
        <w:t>го главой сельского поселения 22 декабря</w:t>
      </w:r>
      <w:r w:rsidRPr="00ED413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D4130">
        <w:rPr>
          <w:sz w:val="28"/>
          <w:szCs w:val="28"/>
        </w:rPr>
        <w:t>г. муниц</w:t>
      </w:r>
      <w:r>
        <w:rPr>
          <w:sz w:val="28"/>
          <w:szCs w:val="28"/>
        </w:rPr>
        <w:t>ипальным правовым актом № 61</w:t>
      </w:r>
      <w:r w:rsidRPr="00ED4130">
        <w:rPr>
          <w:sz w:val="28"/>
          <w:szCs w:val="28"/>
        </w:rPr>
        <w:t xml:space="preserve"> (далее - Положение о бюджетном устройстве), Положением о Контрольно-счетном органе Ольгинского муниципального района утвержденным решением Думы Ольгинского муниципального района от 01.11.2011года № 365, Соглашением 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</w:t>
      </w:r>
      <w:r>
        <w:rPr>
          <w:sz w:val="28"/>
          <w:szCs w:val="28"/>
        </w:rPr>
        <w:t>униципального района от 09 января</w:t>
      </w:r>
      <w:r w:rsidRPr="00ED4130">
        <w:rPr>
          <w:sz w:val="28"/>
          <w:szCs w:val="28"/>
        </w:rPr>
        <w:t xml:space="preserve"> 2017г.</w:t>
      </w:r>
    </w:p>
    <w:p w:rsidR="003526DE" w:rsidRPr="00ED4130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В соответствии с частью 31 Положения о бюджетном устройстве проект бюджета сформирован на три года: на очередной 2018 год и плановый период 2019 и 2020 годов.</w:t>
      </w:r>
    </w:p>
    <w:p w:rsidR="003526DE" w:rsidRPr="00ED4130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Согласно статье 1.1 Соглашения № 1 от 16.12.2016 заключенного между админ</w:t>
      </w:r>
      <w:r w:rsidR="006C0348">
        <w:rPr>
          <w:sz w:val="28"/>
          <w:szCs w:val="28"/>
        </w:rPr>
        <w:t>истрацией Молдавановского сельского</w:t>
      </w:r>
      <w:r w:rsidRPr="00ED4130">
        <w:rPr>
          <w:sz w:val="28"/>
          <w:szCs w:val="28"/>
        </w:rPr>
        <w:t xml:space="preserve"> поселения и администрацией Ольгинского муниципального района о передаче к осуществлению части полномочий по решению вопросов местного значения на 2017 год составление проекта бюджета </w:t>
      </w:r>
      <w:r w:rsidR="005B72B5">
        <w:rPr>
          <w:sz w:val="28"/>
          <w:szCs w:val="28"/>
        </w:rPr>
        <w:t>Молдавановского сельского</w:t>
      </w:r>
      <w:r w:rsidR="005B72B5" w:rsidRPr="00ED4130">
        <w:rPr>
          <w:sz w:val="28"/>
          <w:szCs w:val="28"/>
        </w:rPr>
        <w:t xml:space="preserve"> поселения </w:t>
      </w:r>
      <w:r w:rsidRPr="00ED4130">
        <w:rPr>
          <w:sz w:val="28"/>
          <w:szCs w:val="28"/>
        </w:rPr>
        <w:t>передано администрации Ольгинского муниципального района.</w:t>
      </w:r>
    </w:p>
    <w:p w:rsidR="00CA4C26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lastRenderedPageBreak/>
        <w:t xml:space="preserve">Согласно части 37 Положения о бюджетном устройстве проект решения о бюджете Ольгинского городского поселения на очередной финансовый 2018 год и плановый период 2019 и 2020 годов внесен Главой </w:t>
      </w:r>
      <w:r w:rsidR="005B72B5">
        <w:rPr>
          <w:sz w:val="28"/>
          <w:szCs w:val="28"/>
        </w:rPr>
        <w:t>Молдавановского сельского</w:t>
      </w:r>
      <w:r w:rsidR="005B72B5" w:rsidRPr="00ED4130">
        <w:rPr>
          <w:sz w:val="28"/>
          <w:szCs w:val="28"/>
        </w:rPr>
        <w:t xml:space="preserve"> поселения</w:t>
      </w:r>
      <w:r w:rsidRPr="00ED4130">
        <w:rPr>
          <w:sz w:val="28"/>
          <w:szCs w:val="28"/>
        </w:rPr>
        <w:t xml:space="preserve"> на рассмот</w:t>
      </w:r>
      <w:r w:rsidR="005B72B5">
        <w:rPr>
          <w:sz w:val="28"/>
          <w:szCs w:val="28"/>
        </w:rPr>
        <w:t>рение Муниципального комитета Молдавановского сельского</w:t>
      </w:r>
      <w:r w:rsidRPr="00ED4130">
        <w:rPr>
          <w:sz w:val="28"/>
          <w:szCs w:val="28"/>
        </w:rPr>
        <w:t xml:space="preserve"> поселения 1</w:t>
      </w:r>
      <w:r w:rsidR="005B72B5">
        <w:rPr>
          <w:sz w:val="28"/>
          <w:szCs w:val="28"/>
        </w:rPr>
        <w:t>0</w:t>
      </w:r>
      <w:r w:rsidRPr="00ED4130">
        <w:rPr>
          <w:sz w:val="28"/>
          <w:szCs w:val="28"/>
        </w:rPr>
        <w:t xml:space="preserve"> ноября текущего года</w:t>
      </w:r>
      <w:r w:rsidR="00CA4C26">
        <w:rPr>
          <w:sz w:val="28"/>
          <w:szCs w:val="28"/>
        </w:rPr>
        <w:t>.</w:t>
      </w:r>
    </w:p>
    <w:p w:rsidR="00CA4C26" w:rsidRPr="00DD339C" w:rsidRDefault="00953E8F" w:rsidP="00DD3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C26" w:rsidRPr="00DD339C">
        <w:rPr>
          <w:sz w:val="28"/>
          <w:szCs w:val="28"/>
        </w:rPr>
        <w:t>Контрольно-счетным органом Ольгинского муниципального района 24 ноября 2017 года для выдачи Заключени</w:t>
      </w:r>
      <w:r w:rsidR="00DD339C">
        <w:rPr>
          <w:sz w:val="28"/>
          <w:szCs w:val="28"/>
        </w:rPr>
        <w:t>я на проект бюджета получены</w:t>
      </w:r>
      <w:r w:rsidR="00CA4C26" w:rsidRPr="00DD339C">
        <w:rPr>
          <w:sz w:val="28"/>
          <w:szCs w:val="28"/>
        </w:rPr>
        <w:t xml:space="preserve"> следующие документы и материалы:</w:t>
      </w:r>
    </w:p>
    <w:p w:rsidR="00CA4C26" w:rsidRPr="00DD339C" w:rsidRDefault="00CA4C26" w:rsidP="00DD339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D339C">
        <w:rPr>
          <w:rFonts w:ascii="Times New Roman" w:hAnsi="Times New Roman"/>
          <w:sz w:val="28"/>
          <w:szCs w:val="28"/>
        </w:rPr>
        <w:t>1</w:t>
      </w:r>
      <w:r w:rsidR="00DD339C">
        <w:rPr>
          <w:rFonts w:ascii="Times New Roman" w:hAnsi="Times New Roman"/>
          <w:sz w:val="28"/>
          <w:szCs w:val="28"/>
        </w:rPr>
        <w:t>) пояснительная записка</w:t>
      </w:r>
      <w:r w:rsidRPr="00DD339C">
        <w:rPr>
          <w:rFonts w:ascii="Times New Roman" w:hAnsi="Times New Roman"/>
          <w:sz w:val="28"/>
          <w:szCs w:val="28"/>
        </w:rPr>
        <w:t xml:space="preserve"> к проекту решения Муниципального комитета Молдавановского сельского поселения о бюджете Молдавановского сельского поселения на очередной финансовый год и плановый период;</w:t>
      </w:r>
    </w:p>
    <w:p w:rsidR="00CA4C26" w:rsidRPr="00DD339C" w:rsidRDefault="00CA4C26" w:rsidP="00DD339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D339C">
        <w:rPr>
          <w:rFonts w:ascii="Times New Roman" w:hAnsi="Times New Roman"/>
          <w:sz w:val="28"/>
          <w:szCs w:val="28"/>
        </w:rPr>
        <w:t>2</w:t>
      </w:r>
      <w:r w:rsidR="00DD339C">
        <w:rPr>
          <w:rFonts w:ascii="Times New Roman" w:hAnsi="Times New Roman"/>
          <w:sz w:val="28"/>
          <w:szCs w:val="28"/>
        </w:rPr>
        <w:t>) реестр</w:t>
      </w:r>
      <w:r w:rsidRPr="00DD339C">
        <w:rPr>
          <w:rFonts w:ascii="Times New Roman" w:hAnsi="Times New Roman"/>
          <w:sz w:val="28"/>
          <w:szCs w:val="28"/>
        </w:rPr>
        <w:t xml:space="preserve"> источников доходов бюджета Молдавановского сельского поселения;</w:t>
      </w:r>
    </w:p>
    <w:p w:rsidR="00CA4C26" w:rsidRPr="00DD339C" w:rsidRDefault="00CA4C26" w:rsidP="00DD339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D339C">
        <w:rPr>
          <w:rFonts w:ascii="Times New Roman" w:hAnsi="Times New Roman"/>
          <w:sz w:val="28"/>
          <w:szCs w:val="28"/>
        </w:rPr>
        <w:t>3</w:t>
      </w:r>
      <w:r w:rsidR="00DD339C">
        <w:rPr>
          <w:rFonts w:ascii="Times New Roman" w:hAnsi="Times New Roman"/>
          <w:sz w:val="28"/>
          <w:szCs w:val="28"/>
        </w:rPr>
        <w:t>) протокол</w:t>
      </w:r>
      <w:r w:rsidRPr="00DD339C"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бюджета Молдавановского сельского поселения на очередной финансовый год и плановый период;</w:t>
      </w:r>
    </w:p>
    <w:p w:rsidR="00CA4C26" w:rsidRPr="00DD339C" w:rsidRDefault="00CA4C26" w:rsidP="00DD339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D339C">
        <w:rPr>
          <w:rFonts w:ascii="Times New Roman" w:hAnsi="Times New Roman"/>
          <w:sz w:val="28"/>
          <w:szCs w:val="28"/>
        </w:rPr>
        <w:t>4)</w:t>
      </w:r>
      <w:r w:rsidR="00DD339C">
        <w:rPr>
          <w:rFonts w:ascii="Times New Roman" w:hAnsi="Times New Roman"/>
          <w:sz w:val="28"/>
          <w:szCs w:val="28"/>
        </w:rPr>
        <w:t>. к</w:t>
      </w:r>
      <w:r w:rsidRPr="00DD339C">
        <w:rPr>
          <w:rFonts w:ascii="Times New Roman" w:hAnsi="Times New Roman"/>
          <w:sz w:val="28"/>
          <w:szCs w:val="28"/>
        </w:rPr>
        <w:t>опия проекта решения о бюджете Молдавановского сельского поселения на очередной финансовый год и плановый период со всеми приложениями должна быть представлена в электронном виде.</w:t>
      </w:r>
    </w:p>
    <w:p w:rsidR="00CA4C26" w:rsidRPr="00DD339C" w:rsidRDefault="00DD339C" w:rsidP="00DD3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7AC" w:rsidRPr="00DD339C">
        <w:rPr>
          <w:sz w:val="28"/>
          <w:szCs w:val="28"/>
        </w:rPr>
        <w:t>В нарушение части 37 Положения о бюджетном устройстве, стат</w:t>
      </w:r>
      <w:r w:rsidR="00D93334">
        <w:rPr>
          <w:sz w:val="28"/>
          <w:szCs w:val="28"/>
        </w:rPr>
        <w:t xml:space="preserve">ьи 184,2 Бюджетного кодекса РФ </w:t>
      </w:r>
      <w:r w:rsidR="004627AC" w:rsidRPr="00DD339C">
        <w:rPr>
          <w:sz w:val="28"/>
          <w:szCs w:val="28"/>
        </w:rPr>
        <w:t>не представлены:</w:t>
      </w:r>
    </w:p>
    <w:p w:rsidR="004627AC" w:rsidRPr="00DD339C" w:rsidRDefault="00D93334" w:rsidP="00DD3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7AC" w:rsidRPr="00DD339C">
        <w:rPr>
          <w:sz w:val="28"/>
          <w:szCs w:val="28"/>
        </w:rPr>
        <w:t>основные направления бюджетной и налоговой по</w:t>
      </w:r>
      <w:r>
        <w:rPr>
          <w:sz w:val="28"/>
          <w:szCs w:val="28"/>
        </w:rPr>
        <w:t xml:space="preserve">литики </w:t>
      </w:r>
      <w:r w:rsidRPr="00DD339C">
        <w:rPr>
          <w:sz w:val="28"/>
          <w:szCs w:val="28"/>
        </w:rPr>
        <w:t>Молдавановского сельского поселения на очередной финансовый год и плановый период</w:t>
      </w:r>
      <w:r w:rsidR="004627AC" w:rsidRPr="00DD339C">
        <w:rPr>
          <w:sz w:val="28"/>
          <w:szCs w:val="28"/>
        </w:rPr>
        <w:t>;</w:t>
      </w:r>
    </w:p>
    <w:p w:rsidR="004627AC" w:rsidRPr="00DD339C" w:rsidRDefault="004627AC" w:rsidP="00DD339C">
      <w:pPr>
        <w:spacing w:line="360" w:lineRule="auto"/>
        <w:jc w:val="both"/>
        <w:rPr>
          <w:sz w:val="28"/>
          <w:szCs w:val="28"/>
        </w:rPr>
      </w:pPr>
      <w:r w:rsidRPr="00DD339C">
        <w:rPr>
          <w:sz w:val="28"/>
          <w:szCs w:val="28"/>
        </w:rPr>
        <w:t>- предварительные итоги социально-эк</w:t>
      </w:r>
      <w:r w:rsidR="00D93334">
        <w:rPr>
          <w:sz w:val="28"/>
          <w:szCs w:val="28"/>
        </w:rPr>
        <w:t>ономического развития</w:t>
      </w:r>
      <w:r w:rsidRPr="00DD339C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</w:t>
      </w:r>
      <w:r w:rsidR="00D93334">
        <w:rPr>
          <w:sz w:val="28"/>
          <w:szCs w:val="28"/>
        </w:rPr>
        <w:t>вития</w:t>
      </w:r>
      <w:r w:rsidRPr="00DD339C">
        <w:rPr>
          <w:sz w:val="28"/>
          <w:szCs w:val="28"/>
        </w:rPr>
        <w:t xml:space="preserve"> за текущий финансовый год;</w:t>
      </w:r>
    </w:p>
    <w:p w:rsidR="00953E8F" w:rsidRPr="00ED4130" w:rsidRDefault="004627AC" w:rsidP="003526DE">
      <w:pPr>
        <w:spacing w:line="360" w:lineRule="auto"/>
        <w:jc w:val="both"/>
        <w:rPr>
          <w:sz w:val="28"/>
          <w:szCs w:val="28"/>
        </w:rPr>
      </w:pPr>
      <w:r w:rsidRPr="00DD339C">
        <w:rPr>
          <w:sz w:val="28"/>
          <w:szCs w:val="28"/>
        </w:rPr>
        <w:t>- прогно</w:t>
      </w:r>
      <w:r w:rsidR="00D93334">
        <w:rPr>
          <w:sz w:val="28"/>
          <w:szCs w:val="28"/>
        </w:rPr>
        <w:t>з социально-экономического развития.</w:t>
      </w:r>
    </w:p>
    <w:p w:rsidR="003526DE" w:rsidRPr="00ED4130" w:rsidRDefault="003526DE" w:rsidP="003526DE">
      <w:pPr>
        <w:ind w:left="707" w:firstLine="709"/>
        <w:jc w:val="both"/>
        <w:rPr>
          <w:sz w:val="28"/>
          <w:szCs w:val="28"/>
        </w:rPr>
      </w:pPr>
      <w:r w:rsidRPr="00ED4130">
        <w:rPr>
          <w:b/>
          <w:sz w:val="28"/>
          <w:szCs w:val="28"/>
        </w:rPr>
        <w:t>Показатели прогноза социально-экономического развития</w:t>
      </w:r>
    </w:p>
    <w:p w:rsidR="003526DE" w:rsidRDefault="00DD339C" w:rsidP="003526DE">
      <w:pPr>
        <w:ind w:left="14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Молдавановского сельского</w:t>
      </w:r>
      <w:r w:rsidR="003526DE" w:rsidRPr="00ED4130">
        <w:rPr>
          <w:b/>
          <w:sz w:val="28"/>
          <w:szCs w:val="28"/>
        </w:rPr>
        <w:t xml:space="preserve"> поселения</w:t>
      </w:r>
    </w:p>
    <w:p w:rsidR="00953E8F" w:rsidRPr="00ED4130" w:rsidRDefault="00953E8F" w:rsidP="003526DE">
      <w:pPr>
        <w:ind w:left="1415" w:firstLine="709"/>
        <w:jc w:val="both"/>
        <w:rPr>
          <w:b/>
          <w:sz w:val="28"/>
          <w:szCs w:val="28"/>
        </w:rPr>
      </w:pPr>
    </w:p>
    <w:p w:rsidR="003526DE" w:rsidRDefault="003526DE" w:rsidP="00953E8F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 xml:space="preserve">В виду отсутствия </w:t>
      </w:r>
      <w:r w:rsidR="00DD339C">
        <w:rPr>
          <w:sz w:val="28"/>
          <w:szCs w:val="28"/>
        </w:rPr>
        <w:t>основных направления бюджетной и налоговой политики, предварительных итогов</w:t>
      </w:r>
      <w:r w:rsidR="00DD339C" w:rsidRPr="00DD339C">
        <w:rPr>
          <w:sz w:val="28"/>
          <w:szCs w:val="28"/>
        </w:rPr>
        <w:t xml:space="preserve"> социально-экономического раз</w:t>
      </w:r>
      <w:r w:rsidR="00DD339C">
        <w:rPr>
          <w:sz w:val="28"/>
          <w:szCs w:val="28"/>
        </w:rPr>
        <w:t xml:space="preserve">вития </w:t>
      </w:r>
      <w:r w:rsidR="00DD339C" w:rsidRPr="00DD339C">
        <w:rPr>
          <w:sz w:val="28"/>
          <w:szCs w:val="28"/>
        </w:rPr>
        <w:t xml:space="preserve">за </w:t>
      </w:r>
      <w:r w:rsidR="00DD339C" w:rsidRPr="00DD339C">
        <w:rPr>
          <w:sz w:val="28"/>
          <w:szCs w:val="28"/>
        </w:rPr>
        <w:lastRenderedPageBreak/>
        <w:t>истекший период текущ</w:t>
      </w:r>
      <w:r w:rsidR="00DD339C">
        <w:rPr>
          <w:sz w:val="28"/>
          <w:szCs w:val="28"/>
        </w:rPr>
        <w:t>его финансового года и ожидаемых</w:t>
      </w:r>
      <w:r w:rsidR="00DD339C" w:rsidRPr="00DD339C">
        <w:rPr>
          <w:sz w:val="28"/>
          <w:szCs w:val="28"/>
        </w:rPr>
        <w:t xml:space="preserve"> итог</w:t>
      </w:r>
      <w:r w:rsidR="00DD339C">
        <w:rPr>
          <w:sz w:val="28"/>
          <w:szCs w:val="28"/>
        </w:rPr>
        <w:t>ов</w:t>
      </w:r>
      <w:r w:rsidR="00DD339C" w:rsidRPr="00DD339C">
        <w:rPr>
          <w:sz w:val="28"/>
          <w:szCs w:val="28"/>
        </w:rPr>
        <w:t xml:space="preserve"> социально-экономического разв</w:t>
      </w:r>
      <w:r w:rsidR="00DD339C">
        <w:rPr>
          <w:sz w:val="28"/>
          <w:szCs w:val="28"/>
        </w:rPr>
        <w:t xml:space="preserve">ития </w:t>
      </w:r>
      <w:r w:rsidR="00DD339C" w:rsidRPr="00DD339C">
        <w:rPr>
          <w:sz w:val="28"/>
          <w:szCs w:val="28"/>
        </w:rPr>
        <w:t>за текущий фин</w:t>
      </w:r>
      <w:r w:rsidR="00DD339C">
        <w:rPr>
          <w:sz w:val="28"/>
          <w:szCs w:val="28"/>
        </w:rPr>
        <w:t xml:space="preserve">ансовый год, </w:t>
      </w:r>
      <w:r w:rsidR="00DD339C" w:rsidRPr="00DD339C">
        <w:rPr>
          <w:sz w:val="28"/>
          <w:szCs w:val="28"/>
        </w:rPr>
        <w:t>прогноз</w:t>
      </w:r>
      <w:r w:rsidR="00DD339C">
        <w:rPr>
          <w:sz w:val="28"/>
          <w:szCs w:val="28"/>
        </w:rPr>
        <w:t>а</w:t>
      </w:r>
      <w:r w:rsidR="00DD339C" w:rsidRPr="00DD339C">
        <w:rPr>
          <w:sz w:val="28"/>
          <w:szCs w:val="28"/>
        </w:rPr>
        <w:t xml:space="preserve"> социально-экономического разв</w:t>
      </w:r>
      <w:r w:rsidR="00DD339C">
        <w:rPr>
          <w:sz w:val="28"/>
          <w:szCs w:val="28"/>
        </w:rPr>
        <w:t xml:space="preserve">ития, </w:t>
      </w:r>
      <w:r w:rsidRPr="00ED4130">
        <w:rPr>
          <w:sz w:val="28"/>
          <w:szCs w:val="28"/>
        </w:rPr>
        <w:t>пояснительной записки, где должны быть приведены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а также методов оценки прогноза социально-экономического развития информация для описания данного раздела отсутствует.</w:t>
      </w:r>
    </w:p>
    <w:p w:rsidR="00953E8F" w:rsidRPr="00953E8F" w:rsidRDefault="00953E8F" w:rsidP="00953E8F">
      <w:pPr>
        <w:spacing w:line="360" w:lineRule="auto"/>
        <w:jc w:val="both"/>
        <w:rPr>
          <w:sz w:val="28"/>
          <w:szCs w:val="28"/>
        </w:rPr>
      </w:pPr>
    </w:p>
    <w:p w:rsidR="003526DE" w:rsidRDefault="003526DE" w:rsidP="003526DE">
      <w:pPr>
        <w:spacing w:line="360" w:lineRule="auto"/>
        <w:jc w:val="both"/>
        <w:rPr>
          <w:b/>
          <w:sz w:val="28"/>
          <w:szCs w:val="28"/>
        </w:rPr>
      </w:pP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  <w:t>Общая характеристика проекта бюджета</w:t>
      </w:r>
    </w:p>
    <w:p w:rsidR="00953E8F" w:rsidRPr="00ED4130" w:rsidRDefault="00953E8F" w:rsidP="003526DE">
      <w:pPr>
        <w:spacing w:line="360" w:lineRule="auto"/>
        <w:jc w:val="both"/>
        <w:rPr>
          <w:b/>
          <w:sz w:val="28"/>
          <w:szCs w:val="28"/>
        </w:rPr>
      </w:pPr>
    </w:p>
    <w:p w:rsidR="00FD262A" w:rsidRDefault="00D93334" w:rsidP="00FD262A">
      <w:pPr>
        <w:pStyle w:val="ad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>Общий объем доходов бюджета на 2018 год п</w:t>
      </w:r>
      <w:r w:rsidR="00FD262A">
        <w:rPr>
          <w:sz w:val="28"/>
          <w:szCs w:val="28"/>
        </w:rPr>
        <w:t>рогнозируется в размере 1445,94</w:t>
      </w:r>
      <w:r w:rsidR="003526DE" w:rsidRPr="00ED4130">
        <w:rPr>
          <w:sz w:val="28"/>
          <w:szCs w:val="28"/>
        </w:rPr>
        <w:t xml:space="preserve"> тыс. руб., в том числе сумма налоговых и неналоговых доходов п</w:t>
      </w:r>
      <w:r w:rsidR="00FD262A">
        <w:rPr>
          <w:sz w:val="28"/>
          <w:szCs w:val="28"/>
        </w:rPr>
        <w:t>рогнозируется в размере 187,25</w:t>
      </w:r>
      <w:r w:rsidR="003526DE" w:rsidRPr="00ED4130">
        <w:rPr>
          <w:sz w:val="28"/>
          <w:szCs w:val="28"/>
        </w:rPr>
        <w:t xml:space="preserve"> тыс. руб. Безвозмездные поступления на 2018 год</w:t>
      </w:r>
      <w:r w:rsidR="00FD262A">
        <w:rPr>
          <w:sz w:val="28"/>
          <w:szCs w:val="28"/>
        </w:rPr>
        <w:t xml:space="preserve"> прогнозируются в размере 1258,69</w:t>
      </w:r>
      <w:r w:rsidR="003526DE" w:rsidRPr="00ED4130">
        <w:rPr>
          <w:sz w:val="28"/>
          <w:szCs w:val="28"/>
        </w:rPr>
        <w:t xml:space="preserve"> тыс. руб., в том числе дотации на выравнивание уровня бюджетной обеспеченности в 2018 году прогнозируются в ра</w:t>
      </w:r>
      <w:r w:rsidR="00FD262A">
        <w:rPr>
          <w:sz w:val="28"/>
          <w:szCs w:val="28"/>
        </w:rPr>
        <w:t>змере 580,00</w:t>
      </w:r>
      <w:r w:rsidR="003526DE" w:rsidRPr="00ED4130">
        <w:rPr>
          <w:sz w:val="28"/>
          <w:szCs w:val="28"/>
        </w:rPr>
        <w:t xml:space="preserve"> тыс. руб., субвенции на осуществление первичного воинского учета на территориях, где отсутствуют военные комиссариаты,</w:t>
      </w:r>
      <w:r w:rsidR="00FD262A">
        <w:rPr>
          <w:sz w:val="28"/>
          <w:szCs w:val="28"/>
        </w:rPr>
        <w:t xml:space="preserve"> прогнозируется в размере 146,90</w:t>
      </w:r>
      <w:r w:rsidR="003526DE" w:rsidRPr="00ED4130">
        <w:rPr>
          <w:sz w:val="28"/>
          <w:szCs w:val="28"/>
        </w:rPr>
        <w:t xml:space="preserve"> тыс. руб. </w:t>
      </w:r>
      <w:r w:rsidR="00FD262A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="00953E8F">
        <w:rPr>
          <w:sz w:val="28"/>
          <w:szCs w:val="28"/>
        </w:rPr>
        <w:t xml:space="preserve">ии с заключенными соглашениями </w:t>
      </w:r>
      <w:r w:rsidR="00FD262A">
        <w:rPr>
          <w:sz w:val="28"/>
          <w:szCs w:val="28"/>
        </w:rPr>
        <w:t xml:space="preserve">в 2018 году </w:t>
      </w:r>
      <w:r w:rsidR="00953E8F">
        <w:rPr>
          <w:sz w:val="28"/>
          <w:szCs w:val="28"/>
        </w:rPr>
        <w:t>прогнозируются в размере</w:t>
      </w:r>
      <w:r w:rsidR="00FD262A">
        <w:rPr>
          <w:sz w:val="28"/>
          <w:szCs w:val="28"/>
        </w:rPr>
        <w:t xml:space="preserve"> 531791,00 руб.</w:t>
      </w:r>
    </w:p>
    <w:p w:rsidR="003526DE" w:rsidRPr="00ED4130" w:rsidRDefault="003526DE" w:rsidP="007F16C4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Общий объем доходов бюджета на 2019 год п</w:t>
      </w:r>
      <w:r w:rsidR="00963179">
        <w:rPr>
          <w:sz w:val="28"/>
          <w:szCs w:val="28"/>
        </w:rPr>
        <w:t>рогнозируется в размере 717,27</w:t>
      </w:r>
      <w:r w:rsidRPr="00ED4130">
        <w:rPr>
          <w:sz w:val="28"/>
          <w:szCs w:val="28"/>
        </w:rPr>
        <w:t xml:space="preserve"> тыс. руб., в том числе сумма налоговых и неналоговых доходов п</w:t>
      </w:r>
      <w:r w:rsidR="00963179">
        <w:rPr>
          <w:sz w:val="28"/>
          <w:szCs w:val="28"/>
        </w:rPr>
        <w:t>рогнозируется в размере 198,79</w:t>
      </w:r>
      <w:r w:rsidRPr="00ED4130">
        <w:rPr>
          <w:sz w:val="28"/>
          <w:szCs w:val="28"/>
        </w:rPr>
        <w:t xml:space="preserve"> тыс. руб. Безвозмездные поступления на 2019 год</w:t>
      </w:r>
      <w:r w:rsidR="00963179">
        <w:rPr>
          <w:sz w:val="28"/>
          <w:szCs w:val="28"/>
        </w:rPr>
        <w:t xml:space="preserve"> прогнозируются в размере 518,48</w:t>
      </w:r>
      <w:r w:rsidRPr="00ED4130">
        <w:rPr>
          <w:sz w:val="28"/>
          <w:szCs w:val="28"/>
        </w:rPr>
        <w:t xml:space="preserve"> тыс. руб., в том числе дотации на выравнивание уровня бюджетной обеспеченности в 2019 год</w:t>
      </w:r>
      <w:r w:rsidR="00963179">
        <w:rPr>
          <w:sz w:val="28"/>
          <w:szCs w:val="28"/>
        </w:rPr>
        <w:t>у прогнозируются в размере 371,57</w:t>
      </w:r>
      <w:r w:rsidRPr="00ED4130">
        <w:rPr>
          <w:sz w:val="28"/>
          <w:szCs w:val="28"/>
        </w:rPr>
        <w:t xml:space="preserve"> тыс. руб., субвенции на осуществление первичного воинского учета на территориях, где отсутствуют военные комиссариаты,</w:t>
      </w:r>
      <w:r w:rsidR="00963179">
        <w:rPr>
          <w:sz w:val="28"/>
          <w:szCs w:val="28"/>
        </w:rPr>
        <w:t xml:space="preserve"> прогнозируется в размере 146,90</w:t>
      </w:r>
      <w:r w:rsidR="00953E8F">
        <w:rPr>
          <w:sz w:val="28"/>
          <w:szCs w:val="28"/>
        </w:rPr>
        <w:t xml:space="preserve"> тыс. руб.</w:t>
      </w:r>
    </w:p>
    <w:p w:rsidR="003526DE" w:rsidRPr="00ED4130" w:rsidRDefault="003526DE" w:rsidP="007F16C4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lastRenderedPageBreak/>
        <w:t>Общий объем доходов бюджета на 2020 год прогнозируется в разм</w:t>
      </w:r>
      <w:r w:rsidR="00963179">
        <w:rPr>
          <w:sz w:val="28"/>
          <w:szCs w:val="28"/>
        </w:rPr>
        <w:t>ере 720,55</w:t>
      </w:r>
      <w:r w:rsidRPr="00ED4130">
        <w:rPr>
          <w:sz w:val="28"/>
          <w:szCs w:val="28"/>
        </w:rPr>
        <w:t xml:space="preserve"> тыс. руб., в том числе сумма налоговых и неналоговых доходов п</w:t>
      </w:r>
      <w:r w:rsidR="00963179">
        <w:rPr>
          <w:sz w:val="28"/>
          <w:szCs w:val="28"/>
        </w:rPr>
        <w:t>рогнозируется в размере 202,07</w:t>
      </w:r>
      <w:r w:rsidRPr="00ED4130">
        <w:rPr>
          <w:sz w:val="28"/>
          <w:szCs w:val="28"/>
        </w:rPr>
        <w:t xml:space="preserve"> тыс. руб. Безвозмездные поступления на 2020 год</w:t>
      </w:r>
      <w:r w:rsidR="00963179">
        <w:rPr>
          <w:sz w:val="28"/>
          <w:szCs w:val="28"/>
        </w:rPr>
        <w:t xml:space="preserve"> прогнозируются в размере 518,48</w:t>
      </w:r>
      <w:r w:rsidRPr="00ED4130">
        <w:rPr>
          <w:sz w:val="28"/>
          <w:szCs w:val="28"/>
        </w:rPr>
        <w:t xml:space="preserve"> тыс. руб., в том числе дотации на выравнивание уровня бюджетной обеспеченности в 2020 год</w:t>
      </w:r>
      <w:r w:rsidR="00963179">
        <w:rPr>
          <w:sz w:val="28"/>
          <w:szCs w:val="28"/>
        </w:rPr>
        <w:t>у прогнозируются в размере 371,57</w:t>
      </w:r>
      <w:r w:rsidRPr="00ED4130">
        <w:rPr>
          <w:sz w:val="28"/>
          <w:szCs w:val="28"/>
        </w:rPr>
        <w:t xml:space="preserve"> тыс. руб., субвенции на осуществление первичного воинского учета на территориях, где отсутствуют военные комиссариаты,</w:t>
      </w:r>
      <w:r w:rsidR="00963179">
        <w:rPr>
          <w:sz w:val="28"/>
          <w:szCs w:val="28"/>
        </w:rPr>
        <w:t xml:space="preserve"> прогнозируется в размере 146,90</w:t>
      </w:r>
      <w:r w:rsidR="00953E8F">
        <w:rPr>
          <w:sz w:val="28"/>
          <w:szCs w:val="28"/>
        </w:rPr>
        <w:t xml:space="preserve"> тыс. руб.</w:t>
      </w:r>
    </w:p>
    <w:p w:rsidR="003526DE" w:rsidRPr="00ED4130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Общий объем расходов на 2018 год прогноз</w:t>
      </w:r>
      <w:r w:rsidR="00963179">
        <w:rPr>
          <w:sz w:val="28"/>
          <w:szCs w:val="28"/>
        </w:rPr>
        <w:t xml:space="preserve">ируется в размере 1445,94 </w:t>
      </w:r>
      <w:r w:rsidRPr="00ED4130">
        <w:rPr>
          <w:sz w:val="28"/>
          <w:szCs w:val="28"/>
        </w:rPr>
        <w:t>тыс. руб., из них на реализацию действующих бюджетных обязательств за счет собственных средст</w:t>
      </w:r>
      <w:r w:rsidR="00E107A2">
        <w:rPr>
          <w:sz w:val="28"/>
          <w:szCs w:val="28"/>
        </w:rPr>
        <w:t>в бюджета Молдавановского сельского поселения в сумме 767,25</w:t>
      </w:r>
      <w:r w:rsidRPr="00ED4130">
        <w:rPr>
          <w:sz w:val="28"/>
          <w:szCs w:val="28"/>
        </w:rPr>
        <w:t xml:space="preserve"> тыс. руб. </w:t>
      </w:r>
    </w:p>
    <w:p w:rsidR="003526DE" w:rsidRPr="00ED4130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Объем расходов прогнозируется на первый год планового периода 201</w:t>
      </w:r>
      <w:r w:rsidR="00E107A2">
        <w:rPr>
          <w:sz w:val="28"/>
          <w:szCs w:val="28"/>
        </w:rPr>
        <w:t>9 года в размере 717,27</w:t>
      </w:r>
      <w:r w:rsidRPr="00ED4130">
        <w:rPr>
          <w:sz w:val="28"/>
          <w:szCs w:val="28"/>
        </w:rPr>
        <w:t xml:space="preserve"> тыс. руб., из них на реализацию действующих бюджетных обязательств за счет собственных средств</w:t>
      </w:r>
      <w:r w:rsidR="007F16C4">
        <w:rPr>
          <w:sz w:val="28"/>
          <w:szCs w:val="28"/>
        </w:rPr>
        <w:t xml:space="preserve"> бюджета Молдавановского сельского поселения в сумме 570,37</w:t>
      </w:r>
      <w:r w:rsidRPr="00ED4130">
        <w:rPr>
          <w:sz w:val="28"/>
          <w:szCs w:val="28"/>
        </w:rPr>
        <w:t>тыс. руб.</w:t>
      </w:r>
    </w:p>
    <w:p w:rsidR="003526DE" w:rsidRPr="00ED4130" w:rsidRDefault="003526DE" w:rsidP="003526DE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Объем расходов прогнозируется на второй год планового пери</w:t>
      </w:r>
      <w:r w:rsidR="007F16C4">
        <w:rPr>
          <w:sz w:val="28"/>
          <w:szCs w:val="28"/>
        </w:rPr>
        <w:t>ода 2020 года в размере 750,55</w:t>
      </w:r>
      <w:r w:rsidRPr="00ED4130">
        <w:rPr>
          <w:sz w:val="28"/>
          <w:szCs w:val="28"/>
        </w:rPr>
        <w:t xml:space="preserve"> тыс. руб., из них на реализацию действующих бюджетных обязательств за счет собственных средств бюджета</w:t>
      </w:r>
      <w:r w:rsidR="007F16C4" w:rsidRPr="007F16C4">
        <w:rPr>
          <w:sz w:val="28"/>
          <w:szCs w:val="28"/>
        </w:rPr>
        <w:t xml:space="preserve"> </w:t>
      </w:r>
      <w:r w:rsidR="007F16C4">
        <w:rPr>
          <w:sz w:val="28"/>
          <w:szCs w:val="28"/>
        </w:rPr>
        <w:t xml:space="preserve">Молдавановского сельского поселения в сумме 573,65 </w:t>
      </w:r>
      <w:r w:rsidRPr="00ED4130">
        <w:rPr>
          <w:sz w:val="28"/>
          <w:szCs w:val="28"/>
        </w:rPr>
        <w:t>тыс. руб.</w:t>
      </w:r>
    </w:p>
    <w:p w:rsidR="00953E8F" w:rsidRDefault="00953E8F" w:rsidP="00953E8F">
      <w:pPr>
        <w:pStyle w:val="a8"/>
        <w:spacing w:before="0" w:after="0" w:afterAutospacing="0" w:line="360" w:lineRule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3526DE" w:rsidRPr="00ED4130">
        <w:rPr>
          <w:rFonts w:ascii="Times New Roman" w:hAnsi="Times New Roman"/>
          <w:color w:val="auto"/>
          <w:sz w:val="28"/>
          <w:szCs w:val="28"/>
        </w:rPr>
        <w:t>Бюджет на 2018 год и плановый период 2019-2020 годов прогнозируется сбалансированным.</w:t>
      </w:r>
    </w:p>
    <w:p w:rsidR="003526DE" w:rsidRPr="00953E8F" w:rsidRDefault="003526DE" w:rsidP="00953E8F">
      <w:pPr>
        <w:pStyle w:val="a8"/>
        <w:spacing w:before="0" w:after="0" w:afterAutospacing="0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53E8F">
        <w:rPr>
          <w:rFonts w:ascii="Times New Roman" w:hAnsi="Times New Roman"/>
          <w:b/>
          <w:sz w:val="28"/>
          <w:szCs w:val="28"/>
        </w:rPr>
        <w:t xml:space="preserve">Основные параметры бюджета </w:t>
      </w:r>
      <w:r w:rsidR="007F16C4" w:rsidRPr="00953E8F">
        <w:rPr>
          <w:rFonts w:ascii="Times New Roman" w:hAnsi="Times New Roman"/>
          <w:b/>
          <w:sz w:val="28"/>
          <w:szCs w:val="28"/>
        </w:rPr>
        <w:t>Молдавановского сельского</w:t>
      </w:r>
      <w:r w:rsidR="007F16C4" w:rsidRPr="00953E8F">
        <w:rPr>
          <w:rFonts w:ascii="Times New Roman" w:hAnsi="Times New Roman"/>
          <w:sz w:val="28"/>
          <w:szCs w:val="28"/>
        </w:rPr>
        <w:t xml:space="preserve"> </w:t>
      </w:r>
      <w:r w:rsidRPr="00953E8F">
        <w:rPr>
          <w:rFonts w:ascii="Times New Roman" w:hAnsi="Times New Roman"/>
          <w:b/>
          <w:sz w:val="28"/>
          <w:szCs w:val="28"/>
        </w:rPr>
        <w:t>поселения</w:t>
      </w:r>
    </w:p>
    <w:tbl>
      <w:tblPr>
        <w:tblpPr w:leftFromText="180" w:rightFromText="180" w:vertAnchor="text" w:horzAnchor="margin" w:tblpY="394"/>
        <w:tblW w:w="5017" w:type="pct"/>
        <w:tblLayout w:type="fixed"/>
        <w:tblLook w:val="0000"/>
      </w:tblPr>
      <w:tblGrid>
        <w:gridCol w:w="2662"/>
        <w:gridCol w:w="1277"/>
        <w:gridCol w:w="1420"/>
        <w:gridCol w:w="991"/>
        <w:gridCol w:w="1275"/>
        <w:gridCol w:w="1131"/>
        <w:gridCol w:w="1131"/>
      </w:tblGrid>
      <w:tr w:rsidR="003526DE" w:rsidRPr="00ED4130" w:rsidTr="000D4F99">
        <w:trPr>
          <w:trHeight w:val="945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>Наименование показателей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 xml:space="preserve">Бюджет </w:t>
            </w:r>
          </w:p>
          <w:p w:rsidR="003526DE" w:rsidRPr="00ED4130" w:rsidRDefault="003526DE" w:rsidP="003526DE">
            <w:pPr>
              <w:keepLines/>
            </w:pPr>
            <w:r w:rsidRPr="00ED4130">
              <w:t>2017 г. (тыс. руб.)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 xml:space="preserve">Проект бюджета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D4130">
                <w:t>2018 г</w:t>
              </w:r>
            </w:smartTag>
            <w:r w:rsidRPr="00ED4130">
              <w:t>. (тыс. руб.)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 xml:space="preserve">Рост (снижение)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D4130">
                <w:t>2018 г</w:t>
              </w:r>
            </w:smartTag>
            <w:r w:rsidRPr="00ED4130">
              <w:t>. к</w:t>
            </w:r>
          </w:p>
          <w:p w:rsidR="003526DE" w:rsidRPr="00ED4130" w:rsidRDefault="003526DE" w:rsidP="003526DE">
            <w:pPr>
              <w:keepLines/>
            </w:pPr>
            <w:r w:rsidRPr="00ED4130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D4130">
                <w:t>2017 г.</w:t>
              </w:r>
            </w:smartTag>
            <w:r w:rsidRPr="00ED4130">
              <w:t xml:space="preserve"> (процент)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 xml:space="preserve">(+;-) 2018 г.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D4130">
                <w:t>2017 г</w:t>
              </w:r>
            </w:smartTag>
            <w:r w:rsidRPr="00ED4130">
              <w:t>. (тыс. руб.)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>2019 год</w:t>
            </w:r>
          </w:p>
          <w:p w:rsidR="003526DE" w:rsidRPr="00ED4130" w:rsidRDefault="003526DE" w:rsidP="003526DE">
            <w:pPr>
              <w:keepLines/>
            </w:pPr>
            <w:r w:rsidRPr="00ED4130">
              <w:t>проект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DE" w:rsidRPr="00ED4130" w:rsidRDefault="003526DE" w:rsidP="003526DE">
            <w:pPr>
              <w:keepLines/>
            </w:pPr>
            <w:r w:rsidRPr="00ED4130">
              <w:t>2020 год</w:t>
            </w:r>
          </w:p>
          <w:p w:rsidR="003526DE" w:rsidRPr="00ED4130" w:rsidRDefault="003526DE" w:rsidP="003526DE">
            <w:pPr>
              <w:keepLines/>
            </w:pPr>
            <w:r w:rsidRPr="00ED4130">
              <w:t>проект</w:t>
            </w:r>
          </w:p>
        </w:tc>
      </w:tr>
      <w:tr w:rsidR="000D4F99" w:rsidRPr="00ED4130" w:rsidTr="000D4F99">
        <w:trPr>
          <w:trHeight w:val="315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 xml:space="preserve">ДОХОДЫ - ВСЕГО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1531,90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1445,94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  <w:r>
              <w:rPr>
                <w:b/>
                <w:bCs/>
              </w:rPr>
              <w:t>94,39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  <w:r>
              <w:rPr>
                <w:b/>
                <w:bCs/>
              </w:rPr>
              <w:t>-85,96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  <w:r>
              <w:rPr>
                <w:b/>
                <w:bCs/>
              </w:rPr>
              <w:t>717,27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  <w:r>
              <w:rPr>
                <w:b/>
                <w:bCs/>
              </w:rPr>
              <w:t>720,55</w:t>
            </w:r>
          </w:p>
        </w:tc>
      </w:tr>
      <w:tr w:rsidR="000D4F99" w:rsidRPr="00ED4130" w:rsidTr="000D4F99">
        <w:trPr>
          <w:trHeight w:val="17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  <w:r w:rsidRPr="00ED4130"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</w:p>
        </w:tc>
      </w:tr>
      <w:tr w:rsidR="000D4F99" w:rsidRPr="00ED4130" w:rsidTr="000D4F99">
        <w:trPr>
          <w:trHeight w:val="52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  <w:r w:rsidRPr="00ED4130">
              <w:t xml:space="preserve">налоговые и </w:t>
            </w:r>
            <w:r w:rsidRPr="00ED4130">
              <w:lastRenderedPageBreak/>
              <w:t>неналоговые доходы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  <w:r>
              <w:lastRenderedPageBreak/>
              <w:t>248,00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  <w:r>
              <w:t>187,25</w:t>
            </w:r>
          </w:p>
          <w:p w:rsidR="000D4F99" w:rsidRPr="00ED4130" w:rsidRDefault="000D4F99" w:rsidP="000D4F99">
            <w:pPr>
              <w:keepLines/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r>
              <w:lastRenderedPageBreak/>
              <w:t>75,51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r>
              <w:t>-60,75</w:t>
            </w:r>
          </w:p>
          <w:p w:rsidR="000D4F99" w:rsidRPr="00ED4130" w:rsidRDefault="000D4F99" w:rsidP="000D4F99"/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r>
              <w:lastRenderedPageBreak/>
              <w:t>198,79</w:t>
            </w:r>
          </w:p>
          <w:p w:rsidR="000D4F99" w:rsidRPr="00ED4130" w:rsidRDefault="000D4F99" w:rsidP="000D4F99"/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r>
              <w:lastRenderedPageBreak/>
              <w:t>202,07</w:t>
            </w:r>
          </w:p>
        </w:tc>
      </w:tr>
      <w:tr w:rsidR="000D4F99" w:rsidRPr="00ED4130" w:rsidTr="000D4F99">
        <w:trPr>
          <w:trHeight w:val="277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  <w:r w:rsidRPr="00ED4130">
              <w:lastRenderedPageBreak/>
              <w:t>безвозмездные поступления в том числе:</w:t>
            </w:r>
          </w:p>
          <w:p w:rsidR="000D4F99" w:rsidRPr="00ED4130" w:rsidRDefault="000D4F99" w:rsidP="000D4F99">
            <w:pPr>
              <w:keepLines/>
            </w:pPr>
            <w:r w:rsidRPr="00ED4130">
              <w:t>по обеспечению</w:t>
            </w:r>
          </w:p>
          <w:p w:rsidR="000D4F99" w:rsidRPr="00ED4130" w:rsidRDefault="000D4F99" w:rsidP="000D4F99">
            <w:pPr>
              <w:keepLines/>
            </w:pPr>
            <w:r w:rsidRPr="00ED4130">
              <w:t>сбалансированности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Default="000D4F99" w:rsidP="000D4F99">
            <w:pPr>
              <w:keepLines/>
            </w:pPr>
            <w:r>
              <w:t>1283,90</w:t>
            </w:r>
          </w:p>
          <w:p w:rsidR="000D4F99" w:rsidRDefault="000D4F99" w:rsidP="000D4F99">
            <w:pPr>
              <w:keepLines/>
            </w:pPr>
          </w:p>
          <w:p w:rsidR="000D4F99" w:rsidRDefault="000D4F99" w:rsidP="000D4F99">
            <w:pPr>
              <w:keepLines/>
            </w:pPr>
          </w:p>
          <w:p w:rsidR="000D4F99" w:rsidRPr="00ED4130" w:rsidRDefault="000D4F99" w:rsidP="000D4F99">
            <w:pPr>
              <w:keepLines/>
            </w:pPr>
            <w:r>
              <w:t>434,40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</w:pPr>
            <w:r>
              <w:t>1258,69</w:t>
            </w:r>
          </w:p>
          <w:p w:rsidR="000D4F99" w:rsidRPr="00ED4130" w:rsidRDefault="000D4F99" w:rsidP="000D4F99"/>
          <w:p w:rsidR="000D4F99" w:rsidRDefault="000D4F99" w:rsidP="000D4F99"/>
          <w:p w:rsidR="000D4F99" w:rsidRPr="00ED4130" w:rsidRDefault="000D4F99" w:rsidP="000D4F99">
            <w:r>
              <w:t>580,00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Default="000D4F99" w:rsidP="000D4F99">
            <w:r>
              <w:t>98,04</w:t>
            </w:r>
          </w:p>
          <w:p w:rsidR="000D4F99" w:rsidRDefault="000D4F99" w:rsidP="000D4F99"/>
          <w:p w:rsidR="000D4F99" w:rsidRDefault="000D4F99" w:rsidP="000D4F99"/>
          <w:p w:rsidR="000D4F99" w:rsidRPr="00ED4130" w:rsidRDefault="000D4F99" w:rsidP="000D4F99">
            <w:r>
              <w:t>133,52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r>
              <w:t>-25,21</w:t>
            </w:r>
          </w:p>
          <w:p w:rsidR="000D4F99" w:rsidRDefault="000D4F99" w:rsidP="000D4F99"/>
          <w:p w:rsidR="000D4F99" w:rsidRDefault="000D4F99" w:rsidP="000D4F99"/>
          <w:p w:rsidR="000D4F99" w:rsidRPr="00ED4130" w:rsidRDefault="000D4F99" w:rsidP="000D4F99">
            <w:r>
              <w:t>145,60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Default="000D4F99" w:rsidP="000D4F99">
            <w:r>
              <w:t>518,48</w:t>
            </w:r>
          </w:p>
          <w:p w:rsidR="000D4F99" w:rsidRDefault="000D4F99" w:rsidP="000D4F99"/>
          <w:p w:rsidR="000D4F99" w:rsidRDefault="000D4F99" w:rsidP="000D4F99"/>
          <w:p w:rsidR="000D4F99" w:rsidRPr="00ED4130" w:rsidRDefault="000D4F99" w:rsidP="000D4F99">
            <w:r>
              <w:t>371,58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Default="000D4F99" w:rsidP="000D4F99">
            <w:r>
              <w:t>518,48</w:t>
            </w:r>
          </w:p>
          <w:p w:rsidR="000D4F99" w:rsidRDefault="000D4F99" w:rsidP="000D4F99"/>
          <w:p w:rsidR="000D4F99" w:rsidRDefault="000D4F99" w:rsidP="000D4F99"/>
          <w:p w:rsidR="000D4F99" w:rsidRPr="00ED4130" w:rsidRDefault="000D4F99" w:rsidP="000D4F99">
            <w:r>
              <w:t>371,58</w:t>
            </w:r>
          </w:p>
        </w:tc>
      </w:tr>
      <w:tr w:rsidR="000D4F99" w:rsidRPr="00ED4130" w:rsidTr="000D4F99">
        <w:trPr>
          <w:trHeight w:val="19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>РАСХОДЫ - 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1532,65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1445,94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highlight w:val="yellow"/>
              </w:rPr>
            </w:pPr>
            <w:r w:rsidRPr="000D4F99">
              <w:rPr>
                <w:b/>
              </w:rPr>
              <w:t>94,35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highlight w:val="yellow"/>
              </w:rPr>
            </w:pPr>
            <w:r w:rsidRPr="00ED4130">
              <w:rPr>
                <w:b/>
              </w:rPr>
              <w:t>-</w:t>
            </w:r>
            <w:r>
              <w:rPr>
                <w:b/>
              </w:rPr>
              <w:t>86,71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717,27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720,55</w:t>
            </w:r>
          </w:p>
        </w:tc>
      </w:tr>
      <w:tr w:rsidR="000D4F99" w:rsidRPr="00ED4130" w:rsidTr="003936AF">
        <w:trPr>
          <w:trHeight w:val="315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Cs/>
              </w:rPr>
            </w:pPr>
            <w:r w:rsidRPr="00ED4130">
              <w:rPr>
                <w:bCs/>
              </w:rPr>
              <w:t>В том числе за счет остатков средств на счетах по учету средств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>-</w:t>
            </w:r>
            <w:r>
              <w:rPr>
                <w:b/>
                <w:bCs/>
              </w:rPr>
              <w:t>0,75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  <w:highlight w:val="yellow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0D4F99" w:rsidRDefault="000D4F99" w:rsidP="000D4F99">
            <w:pPr>
              <w:rPr>
                <w:b/>
                <w:bCs/>
              </w:rPr>
            </w:pPr>
            <w:r w:rsidRPr="000D4F99">
              <w:rPr>
                <w:b/>
                <w:bCs/>
              </w:rPr>
              <w:t>0,75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F99" w:rsidRPr="00ED4130" w:rsidRDefault="000D4F99" w:rsidP="000D4F99">
            <w:pPr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</w:tc>
      </w:tr>
      <w:tr w:rsidR="00A12BAB" w:rsidRPr="00ED4130" w:rsidTr="003936AF">
        <w:trPr>
          <w:trHeight w:val="627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 xml:space="preserve">ДЕФИЦИТ (-) </w:t>
            </w:r>
          </w:p>
          <w:p w:rsidR="003526DE" w:rsidRPr="00ED4130" w:rsidRDefault="003526DE" w:rsidP="003526DE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>ПРОФИЦИТ (+)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  <w:p w:rsidR="003526DE" w:rsidRPr="00ED4130" w:rsidRDefault="003526DE" w:rsidP="003526DE">
            <w:pPr>
              <w:keepLines/>
              <w:rPr>
                <w:b/>
                <w:bCs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keepLines/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rPr>
                <w:b/>
                <w:bCs/>
                <w:highlight w:val="yellow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0D4F99" w:rsidRDefault="003526DE" w:rsidP="003526DE">
            <w:pPr>
              <w:rPr>
                <w:b/>
                <w:bCs/>
              </w:rPr>
            </w:pPr>
            <w:r w:rsidRPr="000D4F99">
              <w:rPr>
                <w:b/>
                <w:bCs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rPr>
                <w:b/>
                <w:bCs/>
              </w:rPr>
            </w:pPr>
            <w:r w:rsidRPr="00ED4130">
              <w:rPr>
                <w:b/>
                <w:bCs/>
              </w:rPr>
              <w:t>0,00</w:t>
            </w:r>
          </w:p>
        </w:tc>
      </w:tr>
    </w:tbl>
    <w:p w:rsidR="00A12BAB" w:rsidRDefault="00A12BAB" w:rsidP="003526DE">
      <w:pPr>
        <w:spacing w:line="360" w:lineRule="auto"/>
        <w:ind w:left="2832" w:hanging="2832"/>
        <w:jc w:val="both"/>
        <w:rPr>
          <w:b/>
          <w:sz w:val="28"/>
          <w:szCs w:val="28"/>
        </w:rPr>
      </w:pPr>
    </w:p>
    <w:p w:rsidR="00A12BAB" w:rsidRDefault="00A12BAB" w:rsidP="003526DE">
      <w:pPr>
        <w:spacing w:line="360" w:lineRule="auto"/>
        <w:ind w:left="2832" w:hanging="2832"/>
        <w:jc w:val="both"/>
        <w:rPr>
          <w:b/>
          <w:sz w:val="28"/>
          <w:szCs w:val="28"/>
        </w:rPr>
      </w:pPr>
    </w:p>
    <w:p w:rsidR="003526DE" w:rsidRPr="00ED4130" w:rsidRDefault="00A12BAB" w:rsidP="003526DE">
      <w:pPr>
        <w:spacing w:line="360" w:lineRule="auto"/>
        <w:ind w:left="2832" w:hanging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26DE" w:rsidRPr="00ED4130">
        <w:rPr>
          <w:b/>
          <w:sz w:val="28"/>
          <w:szCs w:val="28"/>
        </w:rPr>
        <w:t>Доходы</w:t>
      </w:r>
    </w:p>
    <w:p w:rsidR="003526DE" w:rsidRPr="00ED4130" w:rsidRDefault="003526DE" w:rsidP="003526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30">
        <w:rPr>
          <w:rFonts w:ascii="Times New Roman" w:hAnsi="Times New Roman" w:cs="Times New Roman"/>
          <w:sz w:val="28"/>
          <w:szCs w:val="28"/>
        </w:rPr>
        <w:tab/>
        <w:t xml:space="preserve">Проектом бюджета </w:t>
      </w:r>
      <w:r w:rsidR="000D4F99">
        <w:rPr>
          <w:rFonts w:ascii="Times New Roman" w:hAnsi="Times New Roman" w:cs="Times New Roman"/>
          <w:sz w:val="28"/>
          <w:szCs w:val="28"/>
        </w:rPr>
        <w:t>Молдавановского сельского</w:t>
      </w:r>
      <w:r w:rsidRPr="00ED4130">
        <w:rPr>
          <w:rFonts w:ascii="Times New Roman" w:hAnsi="Times New Roman" w:cs="Times New Roman"/>
          <w:sz w:val="28"/>
          <w:szCs w:val="28"/>
        </w:rPr>
        <w:t xml:space="preserve"> поселения на 2018 год доходы прогнозируются в сумме </w:t>
      </w:r>
      <w:r w:rsidR="00E67D9C">
        <w:rPr>
          <w:rFonts w:ascii="Times New Roman" w:hAnsi="Times New Roman" w:cs="Times New Roman"/>
          <w:b/>
          <w:sz w:val="28"/>
          <w:szCs w:val="28"/>
        </w:rPr>
        <w:t>1445,94</w:t>
      </w:r>
      <w:r w:rsidRPr="00ED4130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ED4130">
        <w:rPr>
          <w:rFonts w:ascii="Times New Roman" w:hAnsi="Times New Roman" w:cs="Times New Roman"/>
          <w:sz w:val="28"/>
          <w:szCs w:val="28"/>
        </w:rPr>
        <w:t xml:space="preserve">. </w:t>
      </w:r>
      <w:r w:rsidRPr="00ED4130">
        <w:rPr>
          <w:rFonts w:ascii="Times New Roman" w:hAnsi="Times New Roman" w:cs="Times New Roman"/>
          <w:bCs/>
          <w:sz w:val="28"/>
          <w:szCs w:val="28"/>
        </w:rPr>
        <w:t>Доходы сформированы в соответствии с бюджетной классификацией, утвержденной П</w:t>
      </w:r>
      <w:r w:rsidRPr="00ED4130">
        <w:rPr>
          <w:rFonts w:ascii="Times New Roman" w:hAnsi="Times New Roman" w:cs="Times New Roman"/>
          <w:sz w:val="28"/>
          <w:szCs w:val="28"/>
        </w:rPr>
        <w:t xml:space="preserve">риказом Минфина России </w:t>
      </w:r>
      <w:r w:rsidRPr="00ED4130">
        <w:rPr>
          <w:rFonts w:ascii="Times New Roman" w:hAnsi="Times New Roman" w:cs="Times New Roman"/>
          <w:bCs/>
          <w:sz w:val="28"/>
          <w:szCs w:val="28"/>
        </w:rPr>
        <w:t>от 16 июня 2017 года № 95н "О внесении изменений в Указания о порядке применения бюджетной классификации Российской Федерации, утвержденные приказом Минфина России от 01 июля 2013 № 65н".</w:t>
      </w:r>
    </w:p>
    <w:p w:rsidR="00A12BAB" w:rsidRDefault="003526DE" w:rsidP="00A12BAB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Собственная доходная часть – налоговые и неналоговые доходы на 2018год и плановый период по сравнению с ожидаемыми показателями по итогам 20</w:t>
      </w:r>
      <w:r w:rsidR="00A12BAB">
        <w:rPr>
          <w:sz w:val="28"/>
          <w:szCs w:val="28"/>
        </w:rPr>
        <w:t>17 года представлена таблицей:</w:t>
      </w:r>
    </w:p>
    <w:p w:rsidR="003526DE" w:rsidRPr="00ED4130" w:rsidRDefault="00A12BAB" w:rsidP="00352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6DE" w:rsidRPr="00ED4130">
        <w:rPr>
          <w:sz w:val="28"/>
          <w:szCs w:val="28"/>
        </w:rPr>
        <w:t>Таблица № 1(тыс. руб.)</w:t>
      </w:r>
    </w:p>
    <w:tbl>
      <w:tblPr>
        <w:tblW w:w="9982" w:type="dxa"/>
        <w:tblInd w:w="-252" w:type="dxa"/>
        <w:tblLayout w:type="fixed"/>
        <w:tblLook w:val="0000"/>
      </w:tblPr>
      <w:tblGrid>
        <w:gridCol w:w="2880"/>
        <w:gridCol w:w="1166"/>
        <w:gridCol w:w="1417"/>
        <w:gridCol w:w="1134"/>
        <w:gridCol w:w="1080"/>
        <w:gridCol w:w="1164"/>
        <w:gridCol w:w="1141"/>
      </w:tblGrid>
      <w:tr w:rsidR="003526DE" w:rsidRPr="00ED4130" w:rsidTr="003526DE">
        <w:trPr>
          <w:trHeight w:val="11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DE" w:rsidRPr="00ED4130" w:rsidRDefault="003526DE" w:rsidP="003526DE"/>
          <w:p w:rsidR="003526DE" w:rsidRPr="00ED4130" w:rsidRDefault="003526DE" w:rsidP="003526DE">
            <w:r w:rsidRPr="00ED4130">
              <w:t>Наименование источника дохода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DE" w:rsidRPr="00ED4130" w:rsidRDefault="003526DE" w:rsidP="003526DE">
            <w:r w:rsidRPr="00ED4130">
              <w:t>План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DE" w:rsidRPr="00ED4130" w:rsidRDefault="003526DE" w:rsidP="003526DE">
            <w:pPr>
              <w:ind w:hanging="86"/>
            </w:pPr>
            <w:r w:rsidRPr="00ED4130">
              <w:t>Ожидаемое исполнен.</w:t>
            </w:r>
          </w:p>
          <w:p w:rsidR="003526DE" w:rsidRPr="00ED4130" w:rsidRDefault="003526DE" w:rsidP="003526DE">
            <w:pPr>
              <w:ind w:hanging="86"/>
            </w:pPr>
            <w:r w:rsidRPr="00ED4130">
              <w:t>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DE" w:rsidRPr="00ED4130" w:rsidRDefault="003526DE" w:rsidP="003526DE">
            <w:r w:rsidRPr="00ED4130">
              <w:t>План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DE" w:rsidRPr="00ED4130" w:rsidRDefault="003526DE" w:rsidP="003526DE">
            <w:r w:rsidRPr="00ED4130">
              <w:t xml:space="preserve">план 2018 к факт 2017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r w:rsidRPr="00ED4130">
              <w:t>План на 2019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r w:rsidRPr="00ED4130">
              <w:t>План на 2020 год</w:t>
            </w:r>
          </w:p>
        </w:tc>
      </w:tr>
      <w:tr w:rsidR="003526DE" w:rsidRPr="00ED4130" w:rsidTr="003526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pPr>
              <w:spacing w:line="360" w:lineRule="auto"/>
              <w:jc w:val="center"/>
            </w:pPr>
            <w:r w:rsidRPr="00ED4130"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pPr>
              <w:spacing w:line="360" w:lineRule="auto"/>
              <w:jc w:val="center"/>
            </w:pPr>
            <w:r w:rsidRPr="00ED413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pPr>
              <w:spacing w:line="360" w:lineRule="auto"/>
              <w:ind w:right="-108"/>
              <w:jc w:val="center"/>
            </w:pPr>
            <w:r w:rsidRPr="00ED413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pPr>
              <w:spacing w:line="360" w:lineRule="auto"/>
              <w:jc w:val="center"/>
            </w:pPr>
            <w:r w:rsidRPr="00ED413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pPr>
              <w:spacing w:line="360" w:lineRule="auto"/>
              <w:jc w:val="center"/>
            </w:pPr>
            <w:r w:rsidRPr="00ED4130"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spacing w:line="360" w:lineRule="auto"/>
              <w:jc w:val="center"/>
            </w:pPr>
            <w:r w:rsidRPr="00ED4130"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DE" w:rsidRPr="00ED4130" w:rsidRDefault="003526DE" w:rsidP="003526DE">
            <w:pPr>
              <w:spacing w:line="360" w:lineRule="auto"/>
              <w:jc w:val="center"/>
            </w:pPr>
            <w:r w:rsidRPr="00ED4130">
              <w:t>7</w:t>
            </w:r>
          </w:p>
        </w:tc>
      </w:tr>
      <w:tr w:rsidR="003526DE" w:rsidRPr="00ED4130" w:rsidTr="003526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r w:rsidRPr="00ED4130">
              <w:t>Налог на доходы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E67D9C" w:rsidP="00E67D9C">
            <w:pPr>
              <w:ind w:left="-108"/>
            </w:pPr>
            <w: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right="-108" w:hanging="108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left="-249" w:firstLine="141"/>
            </w:pPr>
            <w:r>
              <w:t>22,20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A5435B" w:rsidP="003526DE">
            <w:pPr>
              <w:ind w:hanging="108"/>
            </w:pPr>
            <w:r>
              <w:t>2,20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pPr>
              <w:ind w:left="-108" w:right="-108"/>
            </w:pPr>
            <w:r>
              <w:t>25,74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pPr>
              <w:ind w:hanging="108"/>
            </w:pPr>
            <w:r>
              <w:t>26,02</w:t>
            </w:r>
          </w:p>
        </w:tc>
      </w:tr>
      <w:tr w:rsidR="003526DE" w:rsidRPr="00ED4130" w:rsidTr="003526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r w:rsidRPr="00ED4130">
              <w:t>Налог на имущество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E67D9C" w:rsidP="00E67D9C">
            <w:pPr>
              <w:ind w:hanging="108"/>
            </w:pPr>
            <w:r>
              <w:t>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right="-108" w:hanging="108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left="-108"/>
            </w:pPr>
            <w:r>
              <w:t>65,00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A5435B" w:rsidP="003526DE">
            <w:pPr>
              <w:ind w:hanging="108"/>
            </w:pPr>
            <w: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r>
              <w:t>73,00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r>
              <w:t>76,00</w:t>
            </w:r>
          </w:p>
        </w:tc>
      </w:tr>
      <w:tr w:rsidR="00E67D9C" w:rsidRPr="00ED4130" w:rsidTr="003526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ED4130" w:rsidRDefault="00E67D9C" w:rsidP="00E67D9C">
            <w:r w:rsidRPr="00ED4130">
              <w:t>Земельный налог</w:t>
            </w:r>
            <w:r>
              <w:t xml:space="preserve"> с организаций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Default="00E67D9C" w:rsidP="00E67D9C">
            <w:pPr>
              <w:ind w:hanging="108"/>
            </w:pPr>
            <w: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ED4130" w:rsidRDefault="00FE69F1" w:rsidP="003526DE">
            <w:pPr>
              <w:ind w:right="-108" w:hanging="108"/>
            </w:pPr>
            <w: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ED4130" w:rsidRDefault="00FE69F1" w:rsidP="003526DE">
            <w:pPr>
              <w:ind w:left="-108"/>
            </w:pPr>
            <w:r>
              <w:t>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ED4130" w:rsidRDefault="00A5435B" w:rsidP="003526DE">
            <w:pPr>
              <w:ind w:hanging="108"/>
            </w:pPr>
            <w:r>
              <w:t>-17,00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9C" w:rsidRPr="00ED4130" w:rsidRDefault="00FE69F1" w:rsidP="003526DE">
            <w:r>
              <w:t>73,00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9C" w:rsidRPr="00ED4130" w:rsidRDefault="00FE69F1" w:rsidP="003526DE">
            <w:r>
              <w:t>73,00</w:t>
            </w:r>
          </w:p>
        </w:tc>
      </w:tr>
      <w:tr w:rsidR="003526DE" w:rsidRPr="00ED4130" w:rsidTr="003526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3526DE" w:rsidP="003526DE">
            <w:r w:rsidRPr="00ED4130">
              <w:t>Земельный налог</w:t>
            </w:r>
            <w:r w:rsidR="00E67D9C">
              <w:t xml:space="preserve"> с физических лиц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E67D9C" w:rsidP="00E67D9C">
            <w:pPr>
              <w:ind w:hanging="108"/>
            </w:pPr>
            <w:r>
              <w:t>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right="-108" w:hanging="108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left="-108"/>
            </w:pPr>
            <w:r>
              <w:t>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A5435B" w:rsidP="003526DE">
            <w:pPr>
              <w:ind w:hanging="108"/>
            </w:pPr>
            <w:r>
              <w:t>-33,00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r>
              <w:t>24,00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r>
              <w:t>24,00</w:t>
            </w:r>
          </w:p>
        </w:tc>
      </w:tr>
      <w:tr w:rsidR="00E67D9C" w:rsidRPr="00ED4130" w:rsidTr="003526DE">
        <w:trPr>
          <w:trHeight w:val="50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9C" w:rsidRPr="00E67D9C" w:rsidRDefault="00E67D9C" w:rsidP="003526DE">
            <w:r w:rsidRPr="00E67D9C">
              <w:t>Государственная пошлина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ED4130" w:rsidRDefault="00E67D9C" w:rsidP="00E67D9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ED4130" w:rsidRDefault="00E67D9C" w:rsidP="003526DE">
            <w:pPr>
              <w:ind w:right="-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FE69F1" w:rsidRDefault="00FE69F1" w:rsidP="003526DE">
            <w:pPr>
              <w:ind w:left="-108"/>
            </w:pPr>
            <w: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9C" w:rsidRPr="00A5435B" w:rsidRDefault="00A5435B" w:rsidP="003526DE">
            <w:pPr>
              <w:ind w:hanging="108"/>
            </w:pPr>
            <w:r w:rsidRPr="00A5435B">
              <w:t>0,05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9C" w:rsidRPr="00FE69F1" w:rsidRDefault="00FE69F1" w:rsidP="003526DE">
            <w:r w:rsidRPr="00FE69F1">
              <w:t>0,05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D9C" w:rsidRPr="00FE69F1" w:rsidRDefault="00FE69F1" w:rsidP="003526DE">
            <w:r w:rsidRPr="00FE69F1">
              <w:t>0,05</w:t>
            </w:r>
          </w:p>
        </w:tc>
      </w:tr>
      <w:tr w:rsidR="00AB48DB" w:rsidRPr="00ED4130" w:rsidTr="00EF72F3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B48DB" w:rsidRPr="00FE69F1" w:rsidRDefault="00AB48DB" w:rsidP="003526DE">
            <w:r>
              <w:t>Налоговые доходы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8DB" w:rsidRPr="00ED4130" w:rsidRDefault="00AB48DB" w:rsidP="00D93334">
            <w:pPr>
              <w:ind w:hanging="108"/>
              <w:rPr>
                <w:b/>
              </w:rPr>
            </w:pPr>
            <w:r>
              <w:rPr>
                <w:b/>
              </w:rPr>
              <w:t>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8DB" w:rsidRPr="00AB48DB" w:rsidRDefault="00AB48DB" w:rsidP="00D93334">
            <w:pPr>
              <w:ind w:right="-108" w:hanging="108"/>
              <w:rPr>
                <w:b/>
              </w:rPr>
            </w:pPr>
            <w:r w:rsidRPr="00AB48DB">
              <w:rPr>
                <w:b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8DB" w:rsidRPr="00AB48DB" w:rsidRDefault="00AB48DB" w:rsidP="003526DE">
            <w:pPr>
              <w:ind w:left="-108"/>
              <w:rPr>
                <w:b/>
              </w:rPr>
            </w:pPr>
            <w:r w:rsidRPr="00AB48DB">
              <w:rPr>
                <w:b/>
              </w:rPr>
              <w:t>184,25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8DB" w:rsidRPr="00AB48DB" w:rsidRDefault="00AB48DB" w:rsidP="003526DE">
            <w:pPr>
              <w:ind w:hanging="108"/>
              <w:rPr>
                <w:b/>
              </w:rPr>
            </w:pPr>
            <w:r w:rsidRPr="00AB48DB">
              <w:rPr>
                <w:b/>
              </w:rPr>
              <w:t>-32,75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8DB" w:rsidRPr="00AB48DB" w:rsidRDefault="00AB48DB" w:rsidP="003526DE">
            <w:pPr>
              <w:rPr>
                <w:b/>
              </w:rPr>
            </w:pPr>
            <w:r w:rsidRPr="00AB48DB">
              <w:rPr>
                <w:b/>
              </w:rPr>
              <w:t>195,79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8DB" w:rsidRPr="00AB48DB" w:rsidRDefault="00AB48DB" w:rsidP="003526DE">
            <w:pPr>
              <w:rPr>
                <w:b/>
              </w:rPr>
            </w:pPr>
            <w:r w:rsidRPr="00AB48DB">
              <w:rPr>
                <w:b/>
              </w:rPr>
              <w:t>199,07</w:t>
            </w:r>
          </w:p>
        </w:tc>
      </w:tr>
      <w:tr w:rsidR="00FE69F1" w:rsidRPr="00ED4130" w:rsidTr="00EF72F3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F1" w:rsidRPr="00FE69F1" w:rsidRDefault="00FE69F1" w:rsidP="003526DE">
            <w:r w:rsidRPr="00FE69F1">
              <w:lastRenderedPageBreak/>
              <w:t>Штрафы, санкции, возмещение ущерба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F1" w:rsidRDefault="00FE69F1" w:rsidP="00E67D9C">
            <w:pPr>
              <w:ind w:hanging="108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F1" w:rsidRDefault="00FE69F1" w:rsidP="003526DE">
            <w:pPr>
              <w:ind w:right="-108" w:hanging="10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F1" w:rsidRPr="00FE69F1" w:rsidRDefault="00FE69F1" w:rsidP="003526DE">
            <w:pPr>
              <w:ind w:left="-108"/>
            </w:pPr>
            <w:r w:rsidRPr="00FE69F1"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9F1" w:rsidRPr="00A5435B" w:rsidRDefault="00A5435B" w:rsidP="003526DE">
            <w:pPr>
              <w:ind w:hanging="108"/>
            </w:pPr>
            <w:r w:rsidRPr="00A5435B"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F1" w:rsidRPr="00FE69F1" w:rsidRDefault="00FE69F1" w:rsidP="003526DE">
            <w:r w:rsidRPr="00FE69F1">
              <w:t>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9F1" w:rsidRPr="00FE69F1" w:rsidRDefault="00FE69F1" w:rsidP="003526DE">
            <w:r w:rsidRPr="00FE69F1">
              <w:t>3,00</w:t>
            </w:r>
          </w:p>
        </w:tc>
      </w:tr>
      <w:tr w:rsidR="001C06FA" w:rsidRPr="00ED4130" w:rsidTr="003526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6FA" w:rsidRPr="001C06FA" w:rsidRDefault="001C06FA" w:rsidP="003526DE">
            <w:r>
              <w:t>Неналоговые</w:t>
            </w:r>
            <w:r w:rsidR="00AB48DB">
              <w:t xml:space="preserve"> доходы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FA" w:rsidRDefault="001C06FA" w:rsidP="00E67D9C">
            <w:pPr>
              <w:ind w:hanging="108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FA" w:rsidRDefault="001C06FA" w:rsidP="003526DE">
            <w:pPr>
              <w:ind w:right="-108" w:hanging="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FA" w:rsidRDefault="001C06FA" w:rsidP="003526DE">
            <w:pPr>
              <w:ind w:left="-108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FA" w:rsidRDefault="001C06FA" w:rsidP="003526DE">
            <w:pPr>
              <w:ind w:hanging="108"/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6FA" w:rsidRDefault="001C06FA" w:rsidP="003526DE">
            <w:pPr>
              <w:rPr>
                <w:b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6FA" w:rsidRDefault="001C06FA" w:rsidP="003526DE">
            <w:pPr>
              <w:rPr>
                <w:b/>
              </w:rPr>
            </w:pPr>
          </w:p>
        </w:tc>
      </w:tr>
      <w:tr w:rsidR="003526DE" w:rsidRPr="00ED4130" w:rsidTr="003526DE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6DE" w:rsidRPr="00ED4130" w:rsidRDefault="00E67D9C" w:rsidP="003526DE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E67D9C" w:rsidP="00E67D9C">
            <w:pPr>
              <w:ind w:hanging="108"/>
              <w:rPr>
                <w:b/>
              </w:rPr>
            </w:pPr>
            <w:r>
              <w:rPr>
                <w:b/>
              </w:rPr>
              <w:t>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right="-108" w:hanging="108"/>
              <w:rPr>
                <w:b/>
              </w:rPr>
            </w:pPr>
            <w:r>
              <w:rPr>
                <w:b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FE69F1" w:rsidP="003526DE">
            <w:pPr>
              <w:ind w:left="-108"/>
              <w:rPr>
                <w:b/>
              </w:rPr>
            </w:pPr>
            <w:r>
              <w:rPr>
                <w:b/>
              </w:rPr>
              <w:t>187,25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DE" w:rsidRPr="00ED4130" w:rsidRDefault="00A5435B" w:rsidP="003526DE">
            <w:pPr>
              <w:ind w:hanging="108"/>
              <w:rPr>
                <w:b/>
              </w:rPr>
            </w:pPr>
            <w:r>
              <w:rPr>
                <w:b/>
              </w:rPr>
              <w:t>-29,75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pPr>
              <w:rPr>
                <w:b/>
              </w:rPr>
            </w:pPr>
            <w:r>
              <w:rPr>
                <w:b/>
              </w:rPr>
              <w:t>198,79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6DE" w:rsidRPr="00ED4130" w:rsidRDefault="00FE69F1" w:rsidP="003526DE">
            <w:pPr>
              <w:rPr>
                <w:b/>
              </w:rPr>
            </w:pPr>
            <w:r>
              <w:rPr>
                <w:b/>
              </w:rPr>
              <w:t>202,07</w:t>
            </w:r>
          </w:p>
        </w:tc>
      </w:tr>
    </w:tbl>
    <w:p w:rsidR="003526DE" w:rsidRDefault="003526DE" w:rsidP="00AB48DB">
      <w:pPr>
        <w:spacing w:line="360" w:lineRule="auto"/>
        <w:jc w:val="both"/>
        <w:rPr>
          <w:sz w:val="28"/>
          <w:szCs w:val="28"/>
        </w:rPr>
      </w:pPr>
    </w:p>
    <w:p w:rsidR="003526DE" w:rsidRPr="00ED4130" w:rsidRDefault="00FE69F1" w:rsidP="003526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налоговых</w:t>
      </w:r>
      <w:r w:rsidR="00AB48DB">
        <w:rPr>
          <w:sz w:val="28"/>
          <w:szCs w:val="28"/>
        </w:rPr>
        <w:t xml:space="preserve"> и неналоговых</w:t>
      </w:r>
      <w:r>
        <w:rPr>
          <w:sz w:val="28"/>
          <w:szCs w:val="28"/>
        </w:rPr>
        <w:t xml:space="preserve"> </w:t>
      </w:r>
      <w:r w:rsidR="003526DE" w:rsidRPr="00ED4130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Молдавановского сельского </w:t>
      </w:r>
      <w:r w:rsidR="003526DE" w:rsidRPr="00ED4130">
        <w:rPr>
          <w:sz w:val="28"/>
          <w:szCs w:val="28"/>
        </w:rPr>
        <w:t>поселения на 2018 го</w:t>
      </w:r>
      <w:r w:rsidR="00A5435B">
        <w:rPr>
          <w:sz w:val="28"/>
          <w:szCs w:val="28"/>
        </w:rPr>
        <w:t>д планируется в размере 187,25</w:t>
      </w:r>
      <w:r w:rsidR="003526DE" w:rsidRPr="00ED4130">
        <w:rPr>
          <w:sz w:val="28"/>
          <w:szCs w:val="28"/>
        </w:rPr>
        <w:t xml:space="preserve"> тыс. руб. Планируемы</w:t>
      </w:r>
      <w:r w:rsidR="00A5435B">
        <w:rPr>
          <w:sz w:val="28"/>
          <w:szCs w:val="28"/>
        </w:rPr>
        <w:t xml:space="preserve">й объем </w:t>
      </w:r>
      <w:r w:rsidR="003526DE" w:rsidRPr="00ED4130">
        <w:rPr>
          <w:sz w:val="28"/>
          <w:szCs w:val="28"/>
        </w:rPr>
        <w:t xml:space="preserve">доходов </w:t>
      </w:r>
      <w:r w:rsidR="00A5435B">
        <w:rPr>
          <w:sz w:val="28"/>
          <w:szCs w:val="28"/>
        </w:rPr>
        <w:t xml:space="preserve">на 2019 год составляет 198,79тыс. руб., на 2020 год 202,07 </w:t>
      </w:r>
      <w:r w:rsidR="003526DE" w:rsidRPr="00ED4130">
        <w:rPr>
          <w:sz w:val="28"/>
          <w:szCs w:val="28"/>
        </w:rPr>
        <w:t>тыс. руб.</w:t>
      </w:r>
    </w:p>
    <w:p w:rsidR="003526DE" w:rsidRPr="00ED4130" w:rsidRDefault="003526DE" w:rsidP="003526DE">
      <w:pPr>
        <w:spacing w:line="360" w:lineRule="auto"/>
        <w:ind w:firstLine="720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По сравнению с ожидаемым выполнением плановых показателей за 20</w:t>
      </w:r>
      <w:r w:rsidR="00A5435B">
        <w:rPr>
          <w:sz w:val="28"/>
          <w:szCs w:val="28"/>
        </w:rPr>
        <w:t xml:space="preserve">17 год, прогнозируемые налоговые </w:t>
      </w:r>
      <w:r w:rsidR="00AB48DB">
        <w:rPr>
          <w:sz w:val="28"/>
          <w:szCs w:val="28"/>
        </w:rPr>
        <w:t xml:space="preserve">и неналоговые </w:t>
      </w:r>
      <w:r w:rsidR="00A5435B">
        <w:rPr>
          <w:sz w:val="28"/>
          <w:szCs w:val="28"/>
        </w:rPr>
        <w:t>доходы бюджета Молдавановского сельского поселения на 2018 году снижены на сумму 29,75</w:t>
      </w:r>
      <w:r w:rsidRPr="00ED4130">
        <w:rPr>
          <w:sz w:val="28"/>
          <w:szCs w:val="28"/>
        </w:rPr>
        <w:t xml:space="preserve"> тыс. Значительная сумма снижения</w:t>
      </w:r>
      <w:r w:rsidR="00A5435B">
        <w:rPr>
          <w:sz w:val="28"/>
          <w:szCs w:val="28"/>
        </w:rPr>
        <w:t>: по</w:t>
      </w:r>
      <w:r w:rsidRPr="00ED4130">
        <w:rPr>
          <w:sz w:val="28"/>
          <w:szCs w:val="28"/>
        </w:rPr>
        <w:t xml:space="preserve"> </w:t>
      </w:r>
      <w:r w:rsidR="00A5435B">
        <w:rPr>
          <w:sz w:val="28"/>
          <w:szCs w:val="28"/>
        </w:rPr>
        <w:t>земельному налогу с организации на сумму 17,00 тыс. руб., по земельному налогу с физических лиц на сумму 33,00</w:t>
      </w:r>
      <w:r w:rsidRPr="00ED4130">
        <w:rPr>
          <w:sz w:val="28"/>
          <w:szCs w:val="28"/>
        </w:rPr>
        <w:t xml:space="preserve"> тыс. руб.</w:t>
      </w:r>
    </w:p>
    <w:p w:rsidR="003526DE" w:rsidRPr="00ED4130" w:rsidRDefault="003526DE" w:rsidP="003526DE">
      <w:pPr>
        <w:spacing w:line="360" w:lineRule="auto"/>
        <w:ind w:firstLine="720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При формировании доходной части бюджета на 2018 год на выравнивание бюджетной обес</w:t>
      </w:r>
      <w:r w:rsidR="00A5435B">
        <w:rPr>
          <w:sz w:val="28"/>
          <w:szCs w:val="28"/>
        </w:rPr>
        <w:t>печенности Молдавановского сельского поселения</w:t>
      </w:r>
      <w:r w:rsidRPr="00ED4130">
        <w:rPr>
          <w:sz w:val="28"/>
          <w:szCs w:val="28"/>
        </w:rPr>
        <w:t xml:space="preserve"> прогнозируется сумма дотации </w:t>
      </w:r>
      <w:r w:rsidR="00A5435B">
        <w:rPr>
          <w:sz w:val="28"/>
          <w:szCs w:val="28"/>
        </w:rPr>
        <w:t>в размере 580,00</w:t>
      </w:r>
      <w:r w:rsidR="00EC7512">
        <w:rPr>
          <w:sz w:val="28"/>
          <w:szCs w:val="28"/>
        </w:rPr>
        <w:t xml:space="preserve"> тыс. руб., увеличение</w:t>
      </w:r>
      <w:r w:rsidRPr="00ED4130">
        <w:rPr>
          <w:sz w:val="28"/>
          <w:szCs w:val="28"/>
        </w:rPr>
        <w:t xml:space="preserve"> размера дотации по с</w:t>
      </w:r>
      <w:r w:rsidR="00EC7512">
        <w:rPr>
          <w:sz w:val="28"/>
          <w:szCs w:val="28"/>
        </w:rPr>
        <w:t>равнению с 2017 годом на 145,60</w:t>
      </w:r>
      <w:r w:rsidRPr="00ED4130">
        <w:rPr>
          <w:sz w:val="28"/>
          <w:szCs w:val="28"/>
        </w:rPr>
        <w:t xml:space="preserve"> ты</w:t>
      </w:r>
      <w:r w:rsidR="00EC7512">
        <w:rPr>
          <w:sz w:val="28"/>
          <w:szCs w:val="28"/>
        </w:rPr>
        <w:t xml:space="preserve">с. руб. (в 2017 году. – 434,40 </w:t>
      </w:r>
      <w:r w:rsidRPr="00ED4130">
        <w:rPr>
          <w:sz w:val="28"/>
          <w:szCs w:val="28"/>
        </w:rPr>
        <w:t>тыс. руб.). На 2019-2020 годов дотация на выравнивание бюджетной обесп</w:t>
      </w:r>
      <w:r w:rsidR="00EC7512">
        <w:rPr>
          <w:sz w:val="28"/>
          <w:szCs w:val="28"/>
        </w:rPr>
        <w:t>еченности прогнозируется в размере 371,58</w:t>
      </w:r>
      <w:r w:rsidRPr="00ED4130">
        <w:rPr>
          <w:sz w:val="28"/>
          <w:szCs w:val="28"/>
        </w:rPr>
        <w:t xml:space="preserve"> тыс. руб. ежегодно.</w:t>
      </w:r>
    </w:p>
    <w:p w:rsidR="003526DE" w:rsidRPr="00ED4130" w:rsidRDefault="003526DE" w:rsidP="00AB48DB">
      <w:pPr>
        <w:spacing w:line="360" w:lineRule="auto"/>
        <w:ind w:left="3540"/>
        <w:jc w:val="both"/>
        <w:rPr>
          <w:b/>
          <w:sz w:val="28"/>
          <w:szCs w:val="28"/>
        </w:rPr>
      </w:pPr>
      <w:r w:rsidRPr="00ED4130">
        <w:rPr>
          <w:b/>
          <w:sz w:val="28"/>
          <w:szCs w:val="28"/>
        </w:rPr>
        <w:t>Налоговые доходы</w:t>
      </w:r>
    </w:p>
    <w:p w:rsidR="003526DE" w:rsidRPr="00ED4130" w:rsidRDefault="003526DE" w:rsidP="003526DE">
      <w:pPr>
        <w:spacing w:line="360" w:lineRule="auto"/>
        <w:jc w:val="both"/>
        <w:rPr>
          <w:b/>
          <w:sz w:val="28"/>
          <w:szCs w:val="28"/>
        </w:rPr>
      </w:pP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  <w:t>Налог на доходы физических лиц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Расчет налога на доходы физических лиц произведен исходя из фактического поступления за 9 месяцев 2017 года с учетом данных налогового органа прогнозиру</w:t>
      </w:r>
      <w:r w:rsidR="00EC7512">
        <w:rPr>
          <w:sz w:val="28"/>
          <w:szCs w:val="28"/>
        </w:rPr>
        <w:t>ется на 2018 год по нормативу 2</w:t>
      </w:r>
      <w:r w:rsidRPr="00ED4130">
        <w:rPr>
          <w:sz w:val="28"/>
          <w:szCs w:val="28"/>
        </w:rPr>
        <w:t>,00 процентов в</w:t>
      </w:r>
      <w:r w:rsidR="00EC7512">
        <w:rPr>
          <w:sz w:val="28"/>
          <w:szCs w:val="28"/>
        </w:rPr>
        <w:t xml:space="preserve"> сумме 22,20 тыс. руб., что составляет 11,86</w:t>
      </w:r>
      <w:r w:rsidRPr="00ED4130">
        <w:rPr>
          <w:sz w:val="28"/>
          <w:szCs w:val="28"/>
        </w:rPr>
        <w:t xml:space="preserve"> процента в нало</w:t>
      </w:r>
      <w:r w:rsidR="00EC7512">
        <w:rPr>
          <w:sz w:val="28"/>
          <w:szCs w:val="28"/>
        </w:rPr>
        <w:t xml:space="preserve">говых </w:t>
      </w:r>
      <w:r w:rsidR="00AB48DB">
        <w:rPr>
          <w:sz w:val="28"/>
          <w:szCs w:val="28"/>
        </w:rPr>
        <w:t xml:space="preserve">и неналоговых </w:t>
      </w:r>
      <w:r w:rsidR="00EC7512">
        <w:rPr>
          <w:sz w:val="28"/>
          <w:szCs w:val="28"/>
        </w:rPr>
        <w:t>доходах бюджета и на 11,00 процен</w:t>
      </w:r>
      <w:r w:rsidR="00B27BB3">
        <w:rPr>
          <w:sz w:val="28"/>
          <w:szCs w:val="28"/>
        </w:rPr>
        <w:t>т</w:t>
      </w:r>
      <w:r w:rsidR="00EC7512">
        <w:rPr>
          <w:sz w:val="28"/>
          <w:szCs w:val="28"/>
        </w:rPr>
        <w:t>ов</w:t>
      </w:r>
      <w:r w:rsidRPr="00ED4130">
        <w:rPr>
          <w:sz w:val="28"/>
          <w:szCs w:val="28"/>
        </w:rPr>
        <w:t xml:space="preserve"> выше соответствующего показателя</w:t>
      </w:r>
      <w:r w:rsidR="00B27BB3">
        <w:rPr>
          <w:sz w:val="28"/>
          <w:szCs w:val="28"/>
        </w:rPr>
        <w:t>,</w:t>
      </w:r>
      <w:r w:rsidRPr="00ED4130">
        <w:rPr>
          <w:sz w:val="28"/>
          <w:szCs w:val="28"/>
        </w:rPr>
        <w:t xml:space="preserve"> ожидаемого к исполнению за 2017 год.</w:t>
      </w:r>
      <w:r w:rsidRPr="00ED4130">
        <w:rPr>
          <w:sz w:val="16"/>
          <w:szCs w:val="16"/>
        </w:rPr>
        <w:t xml:space="preserve"> </w:t>
      </w:r>
      <w:r w:rsidR="00B27BB3" w:rsidRPr="00ED4130">
        <w:rPr>
          <w:sz w:val="28"/>
          <w:szCs w:val="28"/>
        </w:rPr>
        <w:t>В сравнении с ожидаемым исполнением соответствующего показателя за 2017 год поступления данного вида нал</w:t>
      </w:r>
      <w:r w:rsidR="00B27BB3">
        <w:rPr>
          <w:sz w:val="28"/>
          <w:szCs w:val="28"/>
        </w:rPr>
        <w:t xml:space="preserve">ога </w:t>
      </w:r>
      <w:r w:rsidR="00B27BB3">
        <w:rPr>
          <w:sz w:val="28"/>
          <w:szCs w:val="28"/>
        </w:rPr>
        <w:lastRenderedPageBreak/>
        <w:t xml:space="preserve">увеличены на сумму – 2,20 </w:t>
      </w:r>
      <w:r w:rsidR="00B27BB3" w:rsidRPr="00ED4130">
        <w:rPr>
          <w:sz w:val="28"/>
          <w:szCs w:val="28"/>
        </w:rPr>
        <w:t>тыс. руб</w:t>
      </w:r>
      <w:r w:rsidR="00B27BB3">
        <w:rPr>
          <w:sz w:val="28"/>
          <w:szCs w:val="28"/>
        </w:rPr>
        <w:t>.</w:t>
      </w:r>
      <w:r w:rsidR="00B27BB3" w:rsidRPr="00ED4130">
        <w:rPr>
          <w:sz w:val="28"/>
          <w:szCs w:val="28"/>
        </w:rPr>
        <w:t xml:space="preserve"> </w:t>
      </w:r>
      <w:r w:rsidRPr="00ED4130">
        <w:rPr>
          <w:sz w:val="28"/>
          <w:szCs w:val="28"/>
        </w:rPr>
        <w:t>На 2019 год прогнозируется по</w:t>
      </w:r>
      <w:r w:rsidR="00B27BB3">
        <w:rPr>
          <w:sz w:val="28"/>
          <w:szCs w:val="28"/>
        </w:rPr>
        <w:t>ступление налога в сумме 25,74</w:t>
      </w:r>
      <w:r w:rsidRPr="00ED4130">
        <w:rPr>
          <w:sz w:val="28"/>
          <w:szCs w:val="28"/>
        </w:rPr>
        <w:t xml:space="preserve"> тыс. руб., что соста</w:t>
      </w:r>
      <w:r w:rsidR="00B27BB3">
        <w:rPr>
          <w:sz w:val="28"/>
          <w:szCs w:val="28"/>
        </w:rPr>
        <w:t>вляет 12,95</w:t>
      </w:r>
      <w:r w:rsidRPr="00ED4130">
        <w:rPr>
          <w:sz w:val="28"/>
          <w:szCs w:val="28"/>
        </w:rPr>
        <w:t xml:space="preserve"> процента в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>доходах. На 2020 год прогнозируется по</w:t>
      </w:r>
      <w:r w:rsidR="00B27BB3">
        <w:rPr>
          <w:sz w:val="28"/>
          <w:szCs w:val="28"/>
        </w:rPr>
        <w:t>ступление налога в сумме 26,02 тыс. руб., что составляет 12,88</w:t>
      </w:r>
      <w:r w:rsidRPr="00ED4130">
        <w:rPr>
          <w:sz w:val="28"/>
          <w:szCs w:val="28"/>
        </w:rPr>
        <w:t xml:space="preserve"> процента в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>доходах.</w:t>
      </w:r>
    </w:p>
    <w:p w:rsidR="003526DE" w:rsidRPr="00ED4130" w:rsidRDefault="003526DE" w:rsidP="00B27BB3">
      <w:pPr>
        <w:jc w:val="both"/>
        <w:rPr>
          <w:sz w:val="16"/>
          <w:szCs w:val="16"/>
        </w:rPr>
      </w:pP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</w:p>
    <w:p w:rsidR="003526DE" w:rsidRPr="00ED4130" w:rsidRDefault="00A12BAB" w:rsidP="003526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26DE" w:rsidRPr="00ED4130">
        <w:rPr>
          <w:b/>
          <w:sz w:val="28"/>
          <w:szCs w:val="28"/>
        </w:rPr>
        <w:t>Налоги на имущество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</w:t>
      </w:r>
      <w:r w:rsidR="00B27BB3">
        <w:rPr>
          <w:sz w:val="28"/>
          <w:szCs w:val="28"/>
        </w:rPr>
        <w:t xml:space="preserve">ницах сельских </w:t>
      </w:r>
      <w:r w:rsidRPr="00ED4130">
        <w:rPr>
          <w:sz w:val="28"/>
          <w:szCs w:val="28"/>
        </w:rPr>
        <w:t>поселений, взимаемый по нормативу 100</w:t>
      </w:r>
      <w:r w:rsidR="00B27BB3">
        <w:rPr>
          <w:sz w:val="28"/>
          <w:szCs w:val="28"/>
        </w:rPr>
        <w:t xml:space="preserve"> </w:t>
      </w:r>
      <w:r w:rsidRPr="00ED4130">
        <w:rPr>
          <w:sz w:val="28"/>
          <w:szCs w:val="28"/>
        </w:rPr>
        <w:t>процент</w:t>
      </w:r>
      <w:r w:rsidR="00B27BB3">
        <w:rPr>
          <w:sz w:val="28"/>
          <w:szCs w:val="28"/>
        </w:rPr>
        <w:t>ов,</w:t>
      </w:r>
      <w:r w:rsidRPr="00ED4130">
        <w:rPr>
          <w:sz w:val="28"/>
          <w:szCs w:val="28"/>
        </w:rPr>
        <w:t xml:space="preserve"> прогнози</w:t>
      </w:r>
      <w:r w:rsidR="00B27BB3">
        <w:rPr>
          <w:sz w:val="28"/>
          <w:szCs w:val="28"/>
        </w:rPr>
        <w:t>руется на 2018 год в размере 65,00 тыс. руб., что составляет 34,70</w:t>
      </w:r>
      <w:r w:rsidRPr="00ED4130">
        <w:rPr>
          <w:sz w:val="28"/>
          <w:szCs w:val="28"/>
        </w:rPr>
        <w:t xml:space="preserve"> процента от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>доходов бюджета. В сравнении с ожидаемым исполнением соответствующего показателя за 2017 год поступления данного вида</w:t>
      </w:r>
      <w:r w:rsidR="00B27BB3">
        <w:rPr>
          <w:sz w:val="28"/>
          <w:szCs w:val="28"/>
        </w:rPr>
        <w:t xml:space="preserve"> налога увеличены на сумму – 15</w:t>
      </w:r>
      <w:r w:rsidRPr="00ED4130">
        <w:rPr>
          <w:sz w:val="28"/>
          <w:szCs w:val="28"/>
        </w:rPr>
        <w:t>,00 тыс. руб. На 2019 год прогнозируетс</w:t>
      </w:r>
      <w:r w:rsidR="00B27BB3">
        <w:rPr>
          <w:sz w:val="28"/>
          <w:szCs w:val="28"/>
        </w:rPr>
        <w:t>я поступление налога в сумме 73</w:t>
      </w:r>
      <w:r w:rsidRPr="00ED4130">
        <w:rPr>
          <w:sz w:val="28"/>
          <w:szCs w:val="28"/>
        </w:rPr>
        <w:t>,0</w:t>
      </w:r>
      <w:r w:rsidR="00B27BB3">
        <w:rPr>
          <w:sz w:val="28"/>
          <w:szCs w:val="28"/>
        </w:rPr>
        <w:t>0 тыс. руб., что составляет 36,73</w:t>
      </w:r>
      <w:r w:rsidRPr="00ED4130">
        <w:rPr>
          <w:sz w:val="28"/>
          <w:szCs w:val="28"/>
        </w:rPr>
        <w:t xml:space="preserve"> процента в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>доходах. На 2020 год прогнозируется</w:t>
      </w:r>
      <w:r w:rsidR="00B27BB3">
        <w:rPr>
          <w:sz w:val="28"/>
          <w:szCs w:val="28"/>
        </w:rPr>
        <w:t xml:space="preserve"> поступление налога в сумме 26,02 тыс. руб., что составляет 37,61</w:t>
      </w:r>
      <w:r w:rsidRPr="00ED4130">
        <w:rPr>
          <w:sz w:val="28"/>
          <w:szCs w:val="28"/>
        </w:rPr>
        <w:t xml:space="preserve"> процента в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 xml:space="preserve">доходах. </w:t>
      </w:r>
    </w:p>
    <w:p w:rsidR="003526DE" w:rsidRPr="00ED4130" w:rsidRDefault="003526DE" w:rsidP="003526DE">
      <w:pPr>
        <w:spacing w:line="360" w:lineRule="auto"/>
        <w:jc w:val="both"/>
        <w:rPr>
          <w:b/>
          <w:sz w:val="28"/>
          <w:szCs w:val="28"/>
        </w:rPr>
      </w:pP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b/>
          <w:sz w:val="28"/>
          <w:szCs w:val="28"/>
        </w:rPr>
        <w:t>Земельный налог</w:t>
      </w:r>
    </w:p>
    <w:p w:rsidR="003526DE" w:rsidRPr="00ED4130" w:rsidRDefault="003526DE" w:rsidP="00B27BB3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- Земельный налог с организаций, обладающих земельным участком, ра</w:t>
      </w:r>
      <w:r w:rsidR="00B27BB3">
        <w:rPr>
          <w:sz w:val="28"/>
          <w:szCs w:val="28"/>
        </w:rPr>
        <w:t>сположенным в границах сельских</w:t>
      </w:r>
      <w:r w:rsidRPr="00ED4130">
        <w:rPr>
          <w:sz w:val="28"/>
          <w:szCs w:val="28"/>
        </w:rPr>
        <w:t xml:space="preserve"> поселений, взимаемый по нормативу 100,00 процентов прогнозируется на 201</w:t>
      </w:r>
      <w:r w:rsidR="00B27BB3">
        <w:rPr>
          <w:sz w:val="28"/>
          <w:szCs w:val="28"/>
        </w:rPr>
        <w:t>8 год в размере 73</w:t>
      </w:r>
      <w:r w:rsidRPr="00ED4130">
        <w:rPr>
          <w:sz w:val="28"/>
          <w:szCs w:val="28"/>
        </w:rPr>
        <w:t>,00</w:t>
      </w:r>
      <w:r w:rsidR="00B27BB3">
        <w:rPr>
          <w:sz w:val="28"/>
          <w:szCs w:val="28"/>
        </w:rPr>
        <w:t xml:space="preserve"> тыс. руб., что составляет 38,98</w:t>
      </w:r>
      <w:r w:rsidRPr="00ED4130">
        <w:rPr>
          <w:sz w:val="28"/>
          <w:szCs w:val="28"/>
        </w:rPr>
        <w:t xml:space="preserve"> процента от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>доходов бюджета. В сравнении с ожидаемым исполнением соответствующего показателя за 2017 год поступлен</w:t>
      </w:r>
      <w:r w:rsidR="00B27BB3">
        <w:rPr>
          <w:sz w:val="28"/>
          <w:szCs w:val="28"/>
        </w:rPr>
        <w:t>ия данного вида налога снижены на сумму – 17</w:t>
      </w:r>
      <w:r w:rsidRPr="00ED4130">
        <w:rPr>
          <w:sz w:val="28"/>
          <w:szCs w:val="28"/>
        </w:rPr>
        <w:t xml:space="preserve">,00 тыс. руб. На 2019 </w:t>
      </w:r>
      <w:r w:rsidR="00B27BB3">
        <w:rPr>
          <w:sz w:val="28"/>
          <w:szCs w:val="28"/>
        </w:rPr>
        <w:t xml:space="preserve">и 2020 </w:t>
      </w:r>
      <w:r w:rsidRPr="00ED4130">
        <w:rPr>
          <w:sz w:val="28"/>
          <w:szCs w:val="28"/>
        </w:rPr>
        <w:t>год</w:t>
      </w:r>
      <w:r w:rsidR="00B27BB3">
        <w:rPr>
          <w:sz w:val="28"/>
          <w:szCs w:val="28"/>
        </w:rPr>
        <w:t>ы</w:t>
      </w:r>
      <w:r w:rsidRPr="00ED4130">
        <w:rPr>
          <w:sz w:val="28"/>
          <w:szCs w:val="28"/>
        </w:rPr>
        <w:t xml:space="preserve"> прогнозируется пос</w:t>
      </w:r>
      <w:r w:rsidR="00B27BB3">
        <w:rPr>
          <w:sz w:val="28"/>
          <w:szCs w:val="28"/>
        </w:rPr>
        <w:t xml:space="preserve">тупление налога в сумме 73,00 тыс. руб. ежегодно, что составляет 36,73 процента в </w:t>
      </w:r>
      <w:r w:rsidRPr="00ED4130">
        <w:rPr>
          <w:sz w:val="28"/>
          <w:szCs w:val="28"/>
        </w:rPr>
        <w:t xml:space="preserve">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>доходах.</w:t>
      </w:r>
    </w:p>
    <w:p w:rsidR="001C06FA" w:rsidRDefault="003526DE" w:rsidP="001C06FA">
      <w:pPr>
        <w:spacing w:line="360" w:lineRule="auto"/>
        <w:ind w:firstLine="708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- Земельный налог с физических лиц, обладающих земельным участком, ра</w:t>
      </w:r>
      <w:r w:rsidR="00B27BB3">
        <w:rPr>
          <w:sz w:val="28"/>
          <w:szCs w:val="28"/>
        </w:rPr>
        <w:t>сположенным в границах сельских</w:t>
      </w:r>
      <w:r w:rsidRPr="00ED4130">
        <w:rPr>
          <w:sz w:val="28"/>
          <w:szCs w:val="28"/>
        </w:rPr>
        <w:t xml:space="preserve"> поселений, взимаемый по нормативу 100</w:t>
      </w:r>
      <w:r w:rsidR="00B27BB3">
        <w:rPr>
          <w:sz w:val="28"/>
          <w:szCs w:val="28"/>
        </w:rPr>
        <w:t xml:space="preserve"> </w:t>
      </w:r>
      <w:r w:rsidRPr="00ED4130">
        <w:rPr>
          <w:sz w:val="28"/>
          <w:szCs w:val="28"/>
        </w:rPr>
        <w:t>процент</w:t>
      </w:r>
      <w:r w:rsidR="00B27BB3">
        <w:rPr>
          <w:sz w:val="28"/>
          <w:szCs w:val="28"/>
        </w:rPr>
        <w:t>ов</w:t>
      </w:r>
      <w:r w:rsidRPr="00ED4130">
        <w:rPr>
          <w:sz w:val="28"/>
          <w:szCs w:val="28"/>
        </w:rPr>
        <w:t xml:space="preserve"> прогнозируется на 2018 год в размере </w:t>
      </w:r>
      <w:r w:rsidR="001C06FA">
        <w:rPr>
          <w:sz w:val="28"/>
          <w:szCs w:val="28"/>
        </w:rPr>
        <w:t>24,</w:t>
      </w:r>
      <w:r w:rsidRPr="00ED4130">
        <w:rPr>
          <w:sz w:val="28"/>
          <w:szCs w:val="28"/>
        </w:rPr>
        <w:t>0</w:t>
      </w:r>
      <w:r w:rsidR="001C06FA">
        <w:rPr>
          <w:sz w:val="28"/>
          <w:szCs w:val="28"/>
        </w:rPr>
        <w:t>0тыс. руб., что составляет 12,82</w:t>
      </w:r>
      <w:r w:rsidRPr="00ED4130">
        <w:rPr>
          <w:sz w:val="28"/>
          <w:szCs w:val="28"/>
        </w:rPr>
        <w:t xml:space="preserve"> процента от налоговых </w:t>
      </w:r>
      <w:r w:rsidR="00AB48DB">
        <w:rPr>
          <w:sz w:val="28"/>
          <w:szCs w:val="28"/>
        </w:rPr>
        <w:t xml:space="preserve">и неналоговых </w:t>
      </w:r>
      <w:r w:rsidRPr="00ED4130">
        <w:rPr>
          <w:sz w:val="28"/>
          <w:szCs w:val="28"/>
        </w:rPr>
        <w:t xml:space="preserve">доходов бюджета. В сравнении с </w:t>
      </w:r>
      <w:r w:rsidRPr="00ED4130">
        <w:rPr>
          <w:sz w:val="28"/>
          <w:szCs w:val="28"/>
        </w:rPr>
        <w:lastRenderedPageBreak/>
        <w:t xml:space="preserve">ожидаемым исполнением соответствующего показателя за 2017 год поступления данного вида налога увеличены на сумму – 382,00 тыс. руб. </w:t>
      </w:r>
      <w:r w:rsidR="001C06FA" w:rsidRPr="00ED4130">
        <w:rPr>
          <w:sz w:val="28"/>
          <w:szCs w:val="28"/>
        </w:rPr>
        <w:t xml:space="preserve">На 2019 </w:t>
      </w:r>
      <w:r w:rsidR="001C06FA">
        <w:rPr>
          <w:sz w:val="28"/>
          <w:szCs w:val="28"/>
        </w:rPr>
        <w:t xml:space="preserve">и 2020 </w:t>
      </w:r>
      <w:r w:rsidR="001C06FA" w:rsidRPr="00ED4130">
        <w:rPr>
          <w:sz w:val="28"/>
          <w:szCs w:val="28"/>
        </w:rPr>
        <w:t>год</w:t>
      </w:r>
      <w:r w:rsidR="001C06FA">
        <w:rPr>
          <w:sz w:val="28"/>
          <w:szCs w:val="28"/>
        </w:rPr>
        <w:t>ы</w:t>
      </w:r>
      <w:r w:rsidR="001C06FA" w:rsidRPr="00ED4130">
        <w:rPr>
          <w:sz w:val="28"/>
          <w:szCs w:val="28"/>
        </w:rPr>
        <w:t xml:space="preserve"> прогнозируется пос</w:t>
      </w:r>
      <w:r w:rsidR="001C06FA">
        <w:rPr>
          <w:sz w:val="28"/>
          <w:szCs w:val="28"/>
        </w:rPr>
        <w:t xml:space="preserve">тупление налога в сумме 24,00 тыс. руб. ежегодно, что составляет 24,08 и 11,87 процента в </w:t>
      </w:r>
      <w:r w:rsidR="001C06FA" w:rsidRPr="00ED4130">
        <w:rPr>
          <w:sz w:val="28"/>
          <w:szCs w:val="28"/>
        </w:rPr>
        <w:t xml:space="preserve">налоговых </w:t>
      </w:r>
      <w:r w:rsidR="00AB48DB">
        <w:rPr>
          <w:sz w:val="28"/>
          <w:szCs w:val="28"/>
        </w:rPr>
        <w:t xml:space="preserve">и неналоговых </w:t>
      </w:r>
      <w:r w:rsidR="001C06FA" w:rsidRPr="00ED4130">
        <w:rPr>
          <w:sz w:val="28"/>
          <w:szCs w:val="28"/>
        </w:rPr>
        <w:t>доходах</w:t>
      </w:r>
      <w:r w:rsidR="001C06FA">
        <w:rPr>
          <w:sz w:val="28"/>
          <w:szCs w:val="28"/>
        </w:rPr>
        <w:t xml:space="preserve"> соответственно</w:t>
      </w:r>
      <w:r w:rsidR="00DA2BE6">
        <w:rPr>
          <w:sz w:val="28"/>
          <w:szCs w:val="28"/>
        </w:rPr>
        <w:t xml:space="preserve"> годам</w:t>
      </w:r>
      <w:r w:rsidR="001C06FA">
        <w:rPr>
          <w:sz w:val="28"/>
          <w:szCs w:val="28"/>
        </w:rPr>
        <w:t>.</w:t>
      </w:r>
    </w:p>
    <w:p w:rsidR="00AB48DB" w:rsidRPr="00AB48DB" w:rsidRDefault="00AB48DB" w:rsidP="001C06F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8DB">
        <w:rPr>
          <w:b/>
          <w:sz w:val="28"/>
          <w:szCs w:val="28"/>
        </w:rPr>
        <w:t>Государственная пошлина</w:t>
      </w:r>
    </w:p>
    <w:p w:rsidR="001C06FA" w:rsidRDefault="001C06FA" w:rsidP="001C06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поступающая по нормативу 100</w:t>
      </w:r>
      <w:r w:rsidR="00AB48DB">
        <w:rPr>
          <w:sz w:val="28"/>
          <w:szCs w:val="28"/>
        </w:rPr>
        <w:t xml:space="preserve"> процентов, прогнозируется в 2018-2020 гг.</w:t>
      </w:r>
      <w:r>
        <w:rPr>
          <w:sz w:val="28"/>
          <w:szCs w:val="28"/>
        </w:rPr>
        <w:t xml:space="preserve"> в размере </w:t>
      </w:r>
      <w:r w:rsidR="00AB48DB">
        <w:rPr>
          <w:sz w:val="28"/>
          <w:szCs w:val="28"/>
        </w:rPr>
        <w:t>0,05 тыс. руб. ежегодно.</w:t>
      </w:r>
    </w:p>
    <w:p w:rsidR="001C06FA" w:rsidRPr="00AB48DB" w:rsidRDefault="00AB48DB" w:rsidP="00AB48DB">
      <w:pPr>
        <w:spacing w:line="360" w:lineRule="auto"/>
        <w:ind w:left="2832"/>
        <w:jc w:val="both"/>
        <w:rPr>
          <w:b/>
          <w:sz w:val="28"/>
          <w:szCs w:val="28"/>
        </w:rPr>
      </w:pPr>
      <w:r w:rsidRPr="00AB48DB">
        <w:rPr>
          <w:b/>
          <w:sz w:val="28"/>
          <w:szCs w:val="28"/>
        </w:rPr>
        <w:t>Н</w:t>
      </w:r>
      <w:r w:rsidR="009E743C">
        <w:rPr>
          <w:b/>
          <w:sz w:val="28"/>
          <w:szCs w:val="28"/>
        </w:rPr>
        <w:t>еналоговые доходы бюджета</w:t>
      </w:r>
    </w:p>
    <w:p w:rsidR="001C06FA" w:rsidRPr="00ED4130" w:rsidRDefault="001C06FA" w:rsidP="009E7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541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 поселений</w:t>
      </w:r>
      <w:r w:rsidR="009E743C">
        <w:rPr>
          <w:sz w:val="28"/>
          <w:szCs w:val="28"/>
        </w:rPr>
        <w:t>, взимаемые</w:t>
      </w:r>
      <w:r w:rsidR="00DA2BE6">
        <w:rPr>
          <w:sz w:val="28"/>
          <w:szCs w:val="28"/>
        </w:rPr>
        <w:t xml:space="preserve"> по нормативу 100 процентов,</w:t>
      </w:r>
      <w:r w:rsidR="00AB48DB">
        <w:rPr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 xml:space="preserve">в </w:t>
      </w:r>
      <w:r w:rsidR="00AB48DB">
        <w:rPr>
          <w:sz w:val="28"/>
          <w:szCs w:val="28"/>
        </w:rPr>
        <w:t>2018-2020 гг. в размере 3,00 тыс. руб. ежегодн</w:t>
      </w:r>
      <w:r w:rsidR="009E743C">
        <w:rPr>
          <w:sz w:val="28"/>
          <w:szCs w:val="28"/>
        </w:rPr>
        <w:t xml:space="preserve">о, что составляет от 1,61 до 1,49 процента в </w:t>
      </w:r>
      <w:r w:rsidR="009E743C" w:rsidRPr="00ED4130">
        <w:rPr>
          <w:sz w:val="28"/>
          <w:szCs w:val="28"/>
        </w:rPr>
        <w:t xml:space="preserve">налоговых </w:t>
      </w:r>
      <w:r w:rsidR="009E743C">
        <w:rPr>
          <w:sz w:val="28"/>
          <w:szCs w:val="28"/>
        </w:rPr>
        <w:t xml:space="preserve">и неналоговых </w:t>
      </w:r>
      <w:r w:rsidR="009E743C" w:rsidRPr="00ED4130">
        <w:rPr>
          <w:sz w:val="28"/>
          <w:szCs w:val="28"/>
        </w:rPr>
        <w:t>доходах</w:t>
      </w:r>
      <w:r w:rsidR="009E743C">
        <w:rPr>
          <w:sz w:val="28"/>
          <w:szCs w:val="28"/>
        </w:rPr>
        <w:t>.</w:t>
      </w:r>
    </w:p>
    <w:p w:rsidR="003526DE" w:rsidRDefault="003526DE" w:rsidP="003526DE">
      <w:pPr>
        <w:spacing w:line="360" w:lineRule="auto"/>
        <w:jc w:val="both"/>
        <w:rPr>
          <w:b/>
          <w:sz w:val="28"/>
          <w:szCs w:val="28"/>
        </w:rPr>
      </w:pP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  <w:t>Безвозмездные поступления</w:t>
      </w:r>
    </w:p>
    <w:p w:rsidR="009E743C" w:rsidRPr="00A12BAB" w:rsidRDefault="009E743C" w:rsidP="00033086">
      <w:pPr>
        <w:spacing w:line="360" w:lineRule="auto"/>
        <w:ind w:firstLine="708"/>
        <w:jc w:val="both"/>
        <w:rPr>
          <w:sz w:val="28"/>
          <w:szCs w:val="28"/>
        </w:rPr>
      </w:pPr>
      <w:r w:rsidRPr="00A12BAB">
        <w:rPr>
          <w:sz w:val="28"/>
          <w:szCs w:val="28"/>
        </w:rPr>
        <w:t xml:space="preserve">Объем прогнозируемых безвозмездных поступлений на 2018 года </w:t>
      </w:r>
      <w:r w:rsidR="00E72D55" w:rsidRPr="00A12BAB">
        <w:rPr>
          <w:sz w:val="28"/>
          <w:szCs w:val="28"/>
        </w:rPr>
        <w:t xml:space="preserve">в </w:t>
      </w:r>
      <w:r w:rsidRPr="00A12BAB">
        <w:rPr>
          <w:sz w:val="28"/>
          <w:szCs w:val="28"/>
        </w:rPr>
        <w:t xml:space="preserve">сравнении с 2017 годом снижен на сумму </w:t>
      </w:r>
      <w:r w:rsidR="00E72D55" w:rsidRPr="00A12BAB">
        <w:rPr>
          <w:sz w:val="28"/>
          <w:szCs w:val="28"/>
        </w:rPr>
        <w:t xml:space="preserve">25,21 </w:t>
      </w:r>
      <w:r w:rsidRPr="00A12BAB">
        <w:rPr>
          <w:sz w:val="28"/>
          <w:szCs w:val="28"/>
        </w:rPr>
        <w:t>тыс. руб. в том числе:</w:t>
      </w:r>
    </w:p>
    <w:p w:rsidR="00E72D55" w:rsidRDefault="00E72D55" w:rsidP="00033086">
      <w:pPr>
        <w:pStyle w:val="ad"/>
        <w:spacing w:after="0" w:line="360" w:lineRule="auto"/>
        <w:ind w:left="0"/>
        <w:jc w:val="both"/>
        <w:rPr>
          <w:sz w:val="28"/>
          <w:szCs w:val="28"/>
        </w:rPr>
      </w:pPr>
      <w:r w:rsidRPr="00A12BAB">
        <w:rPr>
          <w:sz w:val="28"/>
          <w:szCs w:val="28"/>
        </w:rPr>
        <w:t>- увеличение дотации бюджетам сельских поселений на выравнивание бюджетной обеспеченности в сравнении с 2017 годом</w:t>
      </w:r>
      <w:r>
        <w:rPr>
          <w:sz w:val="28"/>
          <w:szCs w:val="28"/>
        </w:rPr>
        <w:t xml:space="preserve"> на сумму 145,60 тыс. руб. (</w:t>
      </w:r>
      <w:r w:rsidR="00DA2BE6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>запланирована сумма 580,00 тыс. руб., на 2017 год сумма 434,40 тыс. руб.)</w:t>
      </w:r>
      <w:r w:rsidR="00ED04E4">
        <w:rPr>
          <w:sz w:val="28"/>
          <w:szCs w:val="28"/>
        </w:rPr>
        <w:t>.</w:t>
      </w:r>
    </w:p>
    <w:p w:rsidR="009E743C" w:rsidRPr="00A12BAB" w:rsidRDefault="009E743C" w:rsidP="00033086">
      <w:pPr>
        <w:spacing w:line="360" w:lineRule="auto"/>
        <w:jc w:val="both"/>
        <w:rPr>
          <w:sz w:val="28"/>
          <w:szCs w:val="28"/>
        </w:rPr>
      </w:pPr>
      <w:r w:rsidRPr="00A12BAB">
        <w:rPr>
          <w:sz w:val="28"/>
          <w:szCs w:val="28"/>
        </w:rPr>
        <w:t>- не прогнозируются пр</w:t>
      </w:r>
      <w:r w:rsidR="00E72D55" w:rsidRPr="00A12BAB">
        <w:rPr>
          <w:sz w:val="28"/>
          <w:szCs w:val="28"/>
        </w:rPr>
        <w:t>очие субсидии бюджетам сельских поселений на сумму 45,00 тыс. руб.</w:t>
      </w:r>
    </w:p>
    <w:p w:rsidR="009E743C" w:rsidRPr="00D068A7" w:rsidRDefault="00ED04E4" w:rsidP="00033086">
      <w:pPr>
        <w:spacing w:line="360" w:lineRule="auto"/>
        <w:jc w:val="both"/>
        <w:rPr>
          <w:color w:val="00B050"/>
          <w:sz w:val="28"/>
          <w:szCs w:val="28"/>
        </w:rPr>
      </w:pPr>
      <w:r w:rsidRPr="00A12BAB">
        <w:rPr>
          <w:sz w:val="28"/>
          <w:szCs w:val="28"/>
        </w:rPr>
        <w:t>- снижение</w:t>
      </w:r>
      <w:r>
        <w:rPr>
          <w:sz w:val="28"/>
          <w:szCs w:val="28"/>
        </w:rPr>
        <w:t xml:space="preserve">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lastRenderedPageBreak/>
        <w:t>заключенными соглашениями</w:t>
      </w:r>
      <w:r w:rsidR="0003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на сумму 125,81 тыс. руб. </w:t>
      </w:r>
      <w:r w:rsidR="00DA2BE6">
        <w:rPr>
          <w:sz w:val="28"/>
          <w:szCs w:val="28"/>
        </w:rPr>
        <w:t>(на 2018 год запланирована сумма 531,79 тыс. руб., на 2017 год сумма 657,60 тыс. руб.).</w:t>
      </w:r>
    </w:p>
    <w:p w:rsidR="009E743C" w:rsidRPr="00A12BAB" w:rsidRDefault="00DA2BE6" w:rsidP="00033086">
      <w:pPr>
        <w:spacing w:line="360" w:lineRule="auto"/>
        <w:jc w:val="both"/>
        <w:rPr>
          <w:sz w:val="28"/>
          <w:szCs w:val="28"/>
        </w:rPr>
      </w:pPr>
      <w:r w:rsidRPr="00A12BAB">
        <w:rPr>
          <w:sz w:val="28"/>
          <w:szCs w:val="28"/>
        </w:rPr>
        <w:t>- субвенции бюджетам сельских</w:t>
      </w:r>
      <w:r w:rsidR="009E743C" w:rsidRPr="00A12BAB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 w:rsidRPr="00A12BAB">
        <w:rPr>
          <w:sz w:val="28"/>
          <w:szCs w:val="28"/>
        </w:rPr>
        <w:t>,</w:t>
      </w:r>
      <w:r w:rsidR="009E743C" w:rsidRPr="00A12BAB">
        <w:rPr>
          <w:sz w:val="28"/>
          <w:szCs w:val="28"/>
        </w:rPr>
        <w:t xml:space="preserve"> </w:t>
      </w:r>
      <w:r w:rsidRPr="00A12BAB">
        <w:rPr>
          <w:sz w:val="28"/>
          <w:szCs w:val="28"/>
        </w:rPr>
        <w:t xml:space="preserve">прогнозируются в размере 146,90 </w:t>
      </w:r>
      <w:r w:rsidR="009E743C" w:rsidRPr="00A12BAB">
        <w:rPr>
          <w:sz w:val="28"/>
          <w:szCs w:val="28"/>
        </w:rPr>
        <w:t>тыс. руб.</w:t>
      </w:r>
    </w:p>
    <w:p w:rsidR="009E743C" w:rsidRDefault="009E743C" w:rsidP="00033086">
      <w:pPr>
        <w:pStyle w:val="ad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A2BE6">
        <w:rPr>
          <w:sz w:val="28"/>
          <w:szCs w:val="28"/>
        </w:rPr>
        <w:t xml:space="preserve"> в 2018 году прогнозируются в размере </w:t>
      </w:r>
      <w:r>
        <w:rPr>
          <w:sz w:val="28"/>
          <w:szCs w:val="28"/>
        </w:rPr>
        <w:t>531</w:t>
      </w:r>
      <w:r w:rsidR="00DA2BE6">
        <w:rPr>
          <w:sz w:val="28"/>
          <w:szCs w:val="28"/>
        </w:rPr>
        <w:t>,79 тыс.</w:t>
      </w:r>
      <w:r>
        <w:rPr>
          <w:sz w:val="28"/>
          <w:szCs w:val="28"/>
        </w:rPr>
        <w:t xml:space="preserve"> руб., в том числе:</w:t>
      </w:r>
    </w:p>
    <w:p w:rsidR="009E743C" w:rsidRDefault="009E743C" w:rsidP="0003308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полномочий по организации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водоснабжение населения, водоотведения, снабжения населения топливом в пределах полномочий, установленных законодательством Российской Федерации. Объемы межбюджетных трансфертов, передаваемых из бюджета Ольгинского</w:t>
      </w:r>
      <w:r w:rsidR="00033086">
        <w:rPr>
          <w:sz w:val="28"/>
          <w:szCs w:val="28"/>
        </w:rPr>
        <w:t xml:space="preserve"> муниципального района в бюджет</w:t>
      </w:r>
      <w:r>
        <w:rPr>
          <w:sz w:val="28"/>
          <w:szCs w:val="28"/>
        </w:rPr>
        <w:t xml:space="preserve"> Молдавановского сельского поселения</w:t>
      </w:r>
      <w:r w:rsidR="00033086">
        <w:rPr>
          <w:sz w:val="28"/>
          <w:szCs w:val="28"/>
        </w:rPr>
        <w:t>, определяю</w:t>
      </w:r>
      <w:r>
        <w:rPr>
          <w:sz w:val="28"/>
          <w:szCs w:val="28"/>
        </w:rPr>
        <w:t>тся исходя из годовой суммы межбюджетных трансфертов равной в 2018 году 100</w:t>
      </w:r>
      <w:r w:rsidR="00DA2BE6">
        <w:rPr>
          <w:sz w:val="28"/>
          <w:szCs w:val="28"/>
        </w:rPr>
        <w:t>,00 тыс.</w:t>
      </w:r>
      <w:r>
        <w:rPr>
          <w:sz w:val="28"/>
          <w:szCs w:val="28"/>
        </w:rPr>
        <w:t xml:space="preserve"> руб.;</w:t>
      </w:r>
    </w:p>
    <w:p w:rsidR="009E743C" w:rsidRDefault="009E743C" w:rsidP="0003308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дорожной деятельности в 2018 году планируется в размере 406</w:t>
      </w:r>
      <w:r w:rsidR="00DA2BE6">
        <w:rPr>
          <w:sz w:val="28"/>
          <w:szCs w:val="28"/>
        </w:rPr>
        <w:t xml:space="preserve">,79 тыс. </w:t>
      </w:r>
      <w:r>
        <w:rPr>
          <w:sz w:val="28"/>
          <w:szCs w:val="28"/>
        </w:rPr>
        <w:t>руб.;</w:t>
      </w:r>
    </w:p>
    <w:p w:rsidR="003526DE" w:rsidRPr="00ED4130" w:rsidRDefault="009E743C" w:rsidP="0003308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организации ритуальных услуг и содержанию мест захоронения. Объем межбюджетных трансфертов, предоставляемых из бюджета Ольгинского муниципального района в бюджет поселения определяется исходя из годовой суммы равной в 2018 году  25</w:t>
      </w:r>
      <w:r w:rsidR="00033086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="00033086">
        <w:rPr>
          <w:sz w:val="28"/>
          <w:szCs w:val="28"/>
        </w:rPr>
        <w:t>тыс. р</w:t>
      </w:r>
      <w:r>
        <w:rPr>
          <w:sz w:val="28"/>
          <w:szCs w:val="28"/>
        </w:rPr>
        <w:t>уб.</w:t>
      </w:r>
    </w:p>
    <w:p w:rsidR="003526DE" w:rsidRPr="00ED4130" w:rsidRDefault="003526DE" w:rsidP="00033086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Объем безвозм</w:t>
      </w:r>
      <w:r w:rsidR="00DA2BE6">
        <w:rPr>
          <w:sz w:val="28"/>
          <w:szCs w:val="28"/>
        </w:rPr>
        <w:t>ездных поступлений на</w:t>
      </w:r>
      <w:r w:rsidRPr="00ED4130">
        <w:rPr>
          <w:sz w:val="28"/>
          <w:szCs w:val="28"/>
        </w:rPr>
        <w:t xml:space="preserve"> плановый период 2019 и 2020 годов прог</w:t>
      </w:r>
      <w:r w:rsidR="00DA2BE6">
        <w:rPr>
          <w:sz w:val="28"/>
          <w:szCs w:val="28"/>
        </w:rPr>
        <w:t xml:space="preserve">нозируется в общей сумме 518,48 </w:t>
      </w:r>
      <w:r w:rsidRPr="00ED4130">
        <w:rPr>
          <w:sz w:val="28"/>
          <w:szCs w:val="28"/>
        </w:rPr>
        <w:t>тыс. руб. ежегодно, в том числе:</w:t>
      </w:r>
    </w:p>
    <w:p w:rsidR="003526DE" w:rsidRPr="00ED4130" w:rsidRDefault="00DA2BE6" w:rsidP="00033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дотации бюджетам сельских</w:t>
      </w:r>
      <w:r w:rsidR="003526DE" w:rsidRPr="00ED4130">
        <w:rPr>
          <w:sz w:val="28"/>
          <w:szCs w:val="28"/>
        </w:rPr>
        <w:t xml:space="preserve"> поселений на выравнивание бюджетной обеспеченности</w:t>
      </w:r>
      <w:r>
        <w:rPr>
          <w:sz w:val="28"/>
          <w:szCs w:val="28"/>
        </w:rPr>
        <w:t>, прогнозируются в размере 371,58</w:t>
      </w:r>
      <w:r w:rsidR="003526DE" w:rsidRPr="00ED413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ежегодно</w:t>
      </w:r>
      <w:r w:rsidR="003526DE" w:rsidRPr="00ED4130">
        <w:rPr>
          <w:sz w:val="28"/>
          <w:szCs w:val="28"/>
        </w:rPr>
        <w:t>;</w:t>
      </w:r>
    </w:p>
    <w:p w:rsidR="00EB32FC" w:rsidRDefault="00DA2BE6" w:rsidP="00033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сельских</w:t>
      </w:r>
      <w:r w:rsidR="003526DE" w:rsidRPr="00ED4130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, прогнозируются в размере 146,90</w:t>
      </w:r>
      <w:r w:rsidR="003526DE" w:rsidRPr="00ED413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ежегодно.</w:t>
      </w:r>
    </w:p>
    <w:p w:rsidR="003526DE" w:rsidRPr="00ED4130" w:rsidRDefault="003526DE" w:rsidP="003526DE">
      <w:pPr>
        <w:pStyle w:val="ad"/>
        <w:jc w:val="center"/>
        <w:rPr>
          <w:b/>
          <w:sz w:val="28"/>
          <w:szCs w:val="28"/>
        </w:rPr>
      </w:pPr>
      <w:r w:rsidRPr="00ED4130">
        <w:rPr>
          <w:b/>
          <w:sz w:val="28"/>
          <w:szCs w:val="28"/>
        </w:rPr>
        <w:lastRenderedPageBreak/>
        <w:t xml:space="preserve">Расходы бюджета </w:t>
      </w:r>
      <w:r w:rsidR="00D93334">
        <w:rPr>
          <w:b/>
          <w:sz w:val="28"/>
          <w:szCs w:val="28"/>
        </w:rPr>
        <w:t xml:space="preserve">Молдавановского сельского </w:t>
      </w:r>
      <w:r w:rsidRPr="00ED4130">
        <w:rPr>
          <w:b/>
          <w:sz w:val="28"/>
          <w:szCs w:val="28"/>
        </w:rPr>
        <w:t>поселения</w:t>
      </w:r>
    </w:p>
    <w:p w:rsidR="002223CC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На 2018 год расход</w:t>
      </w:r>
      <w:r w:rsidR="00D93334">
        <w:rPr>
          <w:sz w:val="28"/>
          <w:szCs w:val="28"/>
        </w:rPr>
        <w:t>ы бюджета Молдавановского сельского</w:t>
      </w:r>
      <w:r w:rsidRPr="00ED4130">
        <w:rPr>
          <w:sz w:val="28"/>
          <w:szCs w:val="28"/>
        </w:rPr>
        <w:t xml:space="preserve"> поселения прогнозиру</w:t>
      </w:r>
      <w:r w:rsidR="00D93334">
        <w:rPr>
          <w:sz w:val="28"/>
          <w:szCs w:val="28"/>
        </w:rPr>
        <w:t>ются в размере 1445,94</w:t>
      </w:r>
      <w:r w:rsidRPr="00ED4130">
        <w:rPr>
          <w:sz w:val="28"/>
          <w:szCs w:val="28"/>
        </w:rPr>
        <w:t xml:space="preserve"> тыс</w:t>
      </w:r>
      <w:r w:rsidR="00D93334">
        <w:rPr>
          <w:sz w:val="28"/>
          <w:szCs w:val="28"/>
        </w:rPr>
        <w:t>. руб. или со снижением на 5,66</w:t>
      </w:r>
      <w:r w:rsidRPr="00ED4130">
        <w:rPr>
          <w:sz w:val="28"/>
          <w:szCs w:val="28"/>
        </w:rPr>
        <w:t xml:space="preserve"> процента к плану 2017 года, что в суммо</w:t>
      </w:r>
      <w:r w:rsidR="00D93334">
        <w:rPr>
          <w:sz w:val="28"/>
          <w:szCs w:val="28"/>
        </w:rPr>
        <w:t>вом выражении составляет 86,71</w:t>
      </w:r>
      <w:r w:rsidRPr="00ED4130">
        <w:rPr>
          <w:sz w:val="28"/>
          <w:szCs w:val="28"/>
        </w:rPr>
        <w:t xml:space="preserve"> тыс. руб.</w:t>
      </w:r>
      <w:r w:rsidR="002223CC" w:rsidRPr="006E6E14">
        <w:rPr>
          <w:sz w:val="28"/>
          <w:szCs w:val="28"/>
          <w:lang w:eastAsia="ar-SA"/>
        </w:rPr>
        <w:t xml:space="preserve"> </w:t>
      </w:r>
      <w:r w:rsidR="002223CC">
        <w:rPr>
          <w:sz w:val="28"/>
          <w:szCs w:val="28"/>
          <w:lang w:eastAsia="ar-SA"/>
        </w:rPr>
        <w:t>Н</w:t>
      </w:r>
      <w:r w:rsidR="002223CC" w:rsidRPr="006E6E14">
        <w:rPr>
          <w:sz w:val="28"/>
          <w:szCs w:val="28"/>
          <w:lang w:eastAsia="ar-SA"/>
        </w:rPr>
        <w:t>а 201</w:t>
      </w:r>
      <w:r w:rsidR="002223CC">
        <w:rPr>
          <w:sz w:val="28"/>
          <w:szCs w:val="28"/>
          <w:lang w:eastAsia="ar-SA"/>
        </w:rPr>
        <w:t>9</w:t>
      </w:r>
      <w:r w:rsidR="002223CC" w:rsidRPr="006E6E14">
        <w:rPr>
          <w:sz w:val="28"/>
          <w:szCs w:val="28"/>
          <w:lang w:eastAsia="ar-SA"/>
        </w:rPr>
        <w:t xml:space="preserve"> год – </w:t>
      </w:r>
      <w:r w:rsidR="002223CC">
        <w:rPr>
          <w:sz w:val="28"/>
          <w:szCs w:val="28"/>
          <w:lang w:eastAsia="ar-SA"/>
        </w:rPr>
        <w:t>717,27 тыс. руб.</w:t>
      </w:r>
      <w:r w:rsidR="002223CC" w:rsidRPr="006E6E14">
        <w:rPr>
          <w:sz w:val="28"/>
          <w:szCs w:val="28"/>
          <w:lang w:eastAsia="ar-SA"/>
        </w:rPr>
        <w:t xml:space="preserve"> с</w:t>
      </w:r>
      <w:r w:rsidR="002223CC">
        <w:rPr>
          <w:sz w:val="28"/>
          <w:szCs w:val="28"/>
          <w:lang w:eastAsia="ar-SA"/>
        </w:rPr>
        <w:t>о снижением</w:t>
      </w:r>
      <w:r w:rsidR="002223CC" w:rsidRPr="006E6E14">
        <w:rPr>
          <w:sz w:val="28"/>
          <w:szCs w:val="28"/>
          <w:lang w:eastAsia="ar-SA"/>
        </w:rPr>
        <w:t xml:space="preserve"> по ср</w:t>
      </w:r>
      <w:r w:rsidR="002223CC">
        <w:rPr>
          <w:sz w:val="28"/>
          <w:szCs w:val="28"/>
          <w:lang w:eastAsia="ar-SA"/>
        </w:rPr>
        <w:t xml:space="preserve">авнению с </w:t>
      </w:r>
      <w:r w:rsidR="002223CC" w:rsidRPr="006E6E14">
        <w:rPr>
          <w:sz w:val="28"/>
          <w:szCs w:val="28"/>
          <w:lang w:eastAsia="ar-SA"/>
        </w:rPr>
        <w:t>201</w:t>
      </w:r>
      <w:r w:rsidR="002223CC">
        <w:rPr>
          <w:sz w:val="28"/>
          <w:szCs w:val="28"/>
          <w:lang w:eastAsia="ar-SA"/>
        </w:rPr>
        <w:t>7</w:t>
      </w:r>
      <w:r w:rsidR="002223CC" w:rsidRPr="006E6E14">
        <w:rPr>
          <w:sz w:val="28"/>
          <w:szCs w:val="28"/>
          <w:lang w:eastAsia="ar-SA"/>
        </w:rPr>
        <w:t xml:space="preserve"> годом на</w:t>
      </w:r>
      <w:r w:rsidR="002223CC">
        <w:rPr>
          <w:sz w:val="28"/>
          <w:szCs w:val="28"/>
          <w:lang w:eastAsia="ar-SA"/>
        </w:rPr>
        <w:t xml:space="preserve"> 53,2 процента или в суммовом выражении на 815,38 тыс. руб. На 2020</w:t>
      </w:r>
      <w:r w:rsidR="002223CC" w:rsidRPr="006E6E14">
        <w:rPr>
          <w:sz w:val="28"/>
          <w:szCs w:val="28"/>
          <w:lang w:eastAsia="ar-SA"/>
        </w:rPr>
        <w:t xml:space="preserve"> год – </w:t>
      </w:r>
      <w:r w:rsidR="002223CC">
        <w:rPr>
          <w:sz w:val="28"/>
          <w:szCs w:val="28"/>
          <w:lang w:eastAsia="ar-SA"/>
        </w:rPr>
        <w:t>720,55 тыс. руб.</w:t>
      </w:r>
      <w:r w:rsidR="002223CC" w:rsidRPr="006E6E14">
        <w:rPr>
          <w:sz w:val="28"/>
          <w:szCs w:val="28"/>
          <w:lang w:eastAsia="ar-SA"/>
        </w:rPr>
        <w:t xml:space="preserve"> с</w:t>
      </w:r>
      <w:r w:rsidR="002223CC">
        <w:rPr>
          <w:sz w:val="28"/>
          <w:szCs w:val="28"/>
          <w:lang w:eastAsia="ar-SA"/>
        </w:rPr>
        <w:t>о снижением</w:t>
      </w:r>
      <w:r w:rsidR="002223CC" w:rsidRPr="006E6E14">
        <w:rPr>
          <w:sz w:val="28"/>
          <w:szCs w:val="28"/>
          <w:lang w:eastAsia="ar-SA"/>
        </w:rPr>
        <w:t xml:space="preserve"> по ср</w:t>
      </w:r>
      <w:r w:rsidR="002223CC">
        <w:rPr>
          <w:sz w:val="28"/>
          <w:szCs w:val="28"/>
          <w:lang w:eastAsia="ar-SA"/>
        </w:rPr>
        <w:t xml:space="preserve">авнению с </w:t>
      </w:r>
      <w:r w:rsidR="002223CC" w:rsidRPr="006E6E14">
        <w:rPr>
          <w:sz w:val="28"/>
          <w:szCs w:val="28"/>
          <w:lang w:eastAsia="ar-SA"/>
        </w:rPr>
        <w:t>201</w:t>
      </w:r>
      <w:r w:rsidR="002223CC">
        <w:rPr>
          <w:sz w:val="28"/>
          <w:szCs w:val="28"/>
          <w:lang w:eastAsia="ar-SA"/>
        </w:rPr>
        <w:t>7</w:t>
      </w:r>
      <w:r w:rsidR="002223CC" w:rsidRPr="006E6E14">
        <w:rPr>
          <w:sz w:val="28"/>
          <w:szCs w:val="28"/>
          <w:lang w:eastAsia="ar-SA"/>
        </w:rPr>
        <w:t xml:space="preserve"> годом на</w:t>
      </w:r>
      <w:r w:rsidR="00F072E7">
        <w:rPr>
          <w:sz w:val="28"/>
          <w:szCs w:val="28"/>
          <w:lang w:eastAsia="ar-SA"/>
        </w:rPr>
        <w:t xml:space="preserve"> 52,99</w:t>
      </w:r>
      <w:r w:rsidR="002223CC">
        <w:rPr>
          <w:sz w:val="28"/>
          <w:szCs w:val="28"/>
          <w:lang w:eastAsia="ar-SA"/>
        </w:rPr>
        <w:t xml:space="preserve"> процента или в суммовом выражении на 803,10 тыс. руб.</w:t>
      </w:r>
    </w:p>
    <w:p w:rsidR="002223CC" w:rsidRPr="00EB32FC" w:rsidRDefault="00F072E7" w:rsidP="003526DE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B32FC">
        <w:rPr>
          <w:sz w:val="28"/>
          <w:szCs w:val="28"/>
        </w:rPr>
        <w:t>Одной</w:t>
      </w:r>
      <w:r w:rsidR="003526DE" w:rsidRPr="00EB32FC">
        <w:rPr>
          <w:sz w:val="28"/>
          <w:szCs w:val="28"/>
        </w:rPr>
        <w:t xml:space="preserve"> из причин сокращения объема прогнозируемых расходов </w:t>
      </w:r>
      <w:r w:rsidR="00EB32FC">
        <w:rPr>
          <w:sz w:val="28"/>
          <w:szCs w:val="28"/>
        </w:rPr>
        <w:t xml:space="preserve">является </w:t>
      </w:r>
      <w:r w:rsidR="003526DE" w:rsidRPr="00EB32FC">
        <w:rPr>
          <w:sz w:val="28"/>
          <w:szCs w:val="28"/>
        </w:rPr>
        <w:t>уменьшение межбюджетных трансфертов из вышестоящих бюджет</w:t>
      </w:r>
      <w:r w:rsidR="002223CC" w:rsidRPr="00EB32FC">
        <w:rPr>
          <w:sz w:val="28"/>
          <w:szCs w:val="28"/>
        </w:rPr>
        <w:t>ов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  <w:t>Таблица № 2 (тыс. руб.)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20"/>
        <w:gridCol w:w="981"/>
        <w:gridCol w:w="992"/>
        <w:gridCol w:w="992"/>
        <w:gridCol w:w="992"/>
        <w:gridCol w:w="777"/>
        <w:gridCol w:w="1008"/>
        <w:gridCol w:w="972"/>
      </w:tblGrid>
      <w:tr w:rsidR="003526DE" w:rsidRPr="00ED4130" w:rsidTr="003526DE">
        <w:tc>
          <w:tcPr>
            <w:tcW w:w="2269" w:type="dxa"/>
            <w:vMerge w:val="restart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20" w:type="dxa"/>
            <w:vMerge w:val="restart"/>
          </w:tcPr>
          <w:p w:rsidR="003526DE" w:rsidRPr="00ED4130" w:rsidRDefault="003526DE" w:rsidP="003526DE">
            <w:pPr>
              <w:ind w:right="-167"/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vMerge w:val="restart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2017год</w:t>
            </w:r>
          </w:p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 xml:space="preserve">План </w:t>
            </w:r>
          </w:p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Проект 2018г</w:t>
            </w:r>
          </w:p>
        </w:tc>
        <w:tc>
          <w:tcPr>
            <w:tcW w:w="1769" w:type="dxa"/>
            <w:gridSpan w:val="2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Проект 2018г к плану 2017</w:t>
            </w:r>
          </w:p>
        </w:tc>
        <w:tc>
          <w:tcPr>
            <w:tcW w:w="1008" w:type="dxa"/>
            <w:vMerge w:val="restart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Проект на 2019 год</w:t>
            </w:r>
          </w:p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Проект на 2020 год</w:t>
            </w:r>
          </w:p>
        </w:tc>
      </w:tr>
      <w:tr w:rsidR="003526DE" w:rsidRPr="00ED4130" w:rsidTr="003526DE">
        <w:tc>
          <w:tcPr>
            <w:tcW w:w="2269" w:type="dxa"/>
            <w:vMerge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План</w:t>
            </w:r>
          </w:p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Доля в расходах</w:t>
            </w:r>
          </w:p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(+/-)</w:t>
            </w:r>
          </w:p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сумма</w:t>
            </w:r>
          </w:p>
        </w:tc>
        <w:tc>
          <w:tcPr>
            <w:tcW w:w="777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процент</w:t>
            </w:r>
          </w:p>
        </w:tc>
        <w:tc>
          <w:tcPr>
            <w:tcW w:w="1008" w:type="dxa"/>
            <w:vMerge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</w:tr>
      <w:tr w:rsidR="003526DE" w:rsidRPr="00ED4130" w:rsidTr="003526DE">
        <w:tc>
          <w:tcPr>
            <w:tcW w:w="2269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8</w:t>
            </w:r>
          </w:p>
        </w:tc>
        <w:tc>
          <w:tcPr>
            <w:tcW w:w="97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9</w:t>
            </w:r>
          </w:p>
        </w:tc>
      </w:tr>
      <w:tr w:rsidR="003526DE" w:rsidRPr="00ED4130" w:rsidTr="003526DE">
        <w:trPr>
          <w:trHeight w:val="214"/>
        </w:trPr>
        <w:tc>
          <w:tcPr>
            <w:tcW w:w="2269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</w:tcPr>
          <w:p w:rsidR="003526DE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722,15</w:t>
            </w:r>
          </w:p>
        </w:tc>
        <w:tc>
          <w:tcPr>
            <w:tcW w:w="992" w:type="dxa"/>
          </w:tcPr>
          <w:p w:rsidR="003526DE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767,25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  <w:tc>
          <w:tcPr>
            <w:tcW w:w="777" w:type="dxa"/>
          </w:tcPr>
          <w:p w:rsidR="003526DE" w:rsidRPr="00ED4130" w:rsidRDefault="00EB32FC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106,25</w:t>
            </w:r>
          </w:p>
        </w:tc>
        <w:tc>
          <w:tcPr>
            <w:tcW w:w="1008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570,37</w:t>
            </w:r>
          </w:p>
        </w:tc>
        <w:tc>
          <w:tcPr>
            <w:tcW w:w="97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573,65</w:t>
            </w:r>
          </w:p>
        </w:tc>
      </w:tr>
      <w:tr w:rsidR="003526DE" w:rsidRPr="00ED4130" w:rsidTr="003526DE">
        <w:trPr>
          <w:trHeight w:val="79"/>
        </w:trPr>
        <w:tc>
          <w:tcPr>
            <w:tcW w:w="2269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200</w:t>
            </w:r>
          </w:p>
        </w:tc>
        <w:tc>
          <w:tcPr>
            <w:tcW w:w="981" w:type="dxa"/>
          </w:tcPr>
          <w:p w:rsidR="003526DE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146,90</w:t>
            </w:r>
          </w:p>
        </w:tc>
        <w:tc>
          <w:tcPr>
            <w:tcW w:w="992" w:type="dxa"/>
          </w:tcPr>
          <w:p w:rsidR="003526DE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146,90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7" w:type="dxa"/>
          </w:tcPr>
          <w:p w:rsidR="003526DE" w:rsidRPr="00ED4130" w:rsidRDefault="00EB32FC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146,90</w:t>
            </w:r>
          </w:p>
        </w:tc>
        <w:tc>
          <w:tcPr>
            <w:tcW w:w="97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146,90</w:t>
            </w:r>
          </w:p>
        </w:tc>
      </w:tr>
      <w:tr w:rsidR="003526DE" w:rsidRPr="00ED4130" w:rsidTr="003526DE">
        <w:tc>
          <w:tcPr>
            <w:tcW w:w="2269" w:type="dxa"/>
          </w:tcPr>
          <w:p w:rsidR="003526DE" w:rsidRPr="00ED4130" w:rsidRDefault="003526DE" w:rsidP="003526DE">
            <w:pPr>
              <w:rPr>
                <w:b/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  <w:r w:rsidRPr="00ED4130">
              <w:rPr>
                <w:sz w:val="20"/>
                <w:szCs w:val="20"/>
              </w:rPr>
              <w:t>400</w:t>
            </w:r>
          </w:p>
        </w:tc>
        <w:tc>
          <w:tcPr>
            <w:tcW w:w="981" w:type="dxa"/>
          </w:tcPr>
          <w:p w:rsidR="003526DE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657,60</w:t>
            </w:r>
          </w:p>
        </w:tc>
        <w:tc>
          <w:tcPr>
            <w:tcW w:w="992" w:type="dxa"/>
          </w:tcPr>
          <w:p w:rsidR="003526DE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406,79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28,13</w:t>
            </w:r>
          </w:p>
        </w:tc>
        <w:tc>
          <w:tcPr>
            <w:tcW w:w="992" w:type="dxa"/>
          </w:tcPr>
          <w:p w:rsidR="003526DE" w:rsidRPr="00ED4130" w:rsidRDefault="00EB32FC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-250,81</w:t>
            </w:r>
          </w:p>
        </w:tc>
        <w:tc>
          <w:tcPr>
            <w:tcW w:w="777" w:type="dxa"/>
          </w:tcPr>
          <w:p w:rsidR="003526DE" w:rsidRPr="00ED4130" w:rsidRDefault="00EB32FC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61,86</w:t>
            </w:r>
          </w:p>
        </w:tc>
        <w:tc>
          <w:tcPr>
            <w:tcW w:w="1008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</w:tr>
      <w:tr w:rsidR="003526DE" w:rsidRPr="00ED4130" w:rsidTr="003526DE">
        <w:tc>
          <w:tcPr>
            <w:tcW w:w="2269" w:type="dxa"/>
          </w:tcPr>
          <w:p w:rsidR="00F072E7" w:rsidRPr="00ED4130" w:rsidRDefault="002B4280" w:rsidP="002B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72E7">
              <w:rPr>
                <w:sz w:val="20"/>
                <w:szCs w:val="20"/>
              </w:rPr>
              <w:t>00</w:t>
            </w:r>
          </w:p>
        </w:tc>
        <w:tc>
          <w:tcPr>
            <w:tcW w:w="981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</w:tcPr>
          <w:p w:rsidR="003526DE" w:rsidRPr="00ED4130" w:rsidRDefault="002B4280" w:rsidP="002B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</w:t>
            </w:r>
          </w:p>
        </w:tc>
        <w:tc>
          <w:tcPr>
            <w:tcW w:w="992" w:type="dxa"/>
          </w:tcPr>
          <w:p w:rsidR="003526DE" w:rsidRPr="00ED4130" w:rsidRDefault="00EB32FC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777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526DE" w:rsidRPr="00ED4130" w:rsidRDefault="003526DE" w:rsidP="003526DE">
            <w:pPr>
              <w:rPr>
                <w:sz w:val="20"/>
                <w:szCs w:val="20"/>
              </w:rPr>
            </w:pPr>
          </w:p>
        </w:tc>
      </w:tr>
      <w:tr w:rsidR="00F072E7" w:rsidRPr="00ED4130" w:rsidTr="003526DE">
        <w:tc>
          <w:tcPr>
            <w:tcW w:w="2269" w:type="dxa"/>
          </w:tcPr>
          <w:p w:rsidR="00F072E7" w:rsidRPr="00ED4130" w:rsidRDefault="00F072E7" w:rsidP="000E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4130">
              <w:rPr>
                <w:sz w:val="20"/>
                <w:szCs w:val="20"/>
              </w:rPr>
              <w:t>00</w:t>
            </w:r>
          </w:p>
        </w:tc>
        <w:tc>
          <w:tcPr>
            <w:tcW w:w="981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F072E7" w:rsidRPr="00ED4130" w:rsidRDefault="00F072E7" w:rsidP="003526DE">
            <w:pPr>
              <w:rPr>
                <w:sz w:val="20"/>
                <w:szCs w:val="20"/>
              </w:rPr>
            </w:pPr>
          </w:p>
        </w:tc>
      </w:tr>
      <w:tr w:rsidR="003526DE" w:rsidRPr="00ED4130" w:rsidTr="003526DE">
        <w:tc>
          <w:tcPr>
            <w:tcW w:w="2269" w:type="dxa"/>
          </w:tcPr>
          <w:p w:rsidR="003526DE" w:rsidRPr="00ED4130" w:rsidRDefault="003526DE" w:rsidP="003526DE">
            <w:pPr>
              <w:rPr>
                <w:b/>
                <w:sz w:val="20"/>
                <w:szCs w:val="20"/>
              </w:rPr>
            </w:pPr>
            <w:r w:rsidRPr="00ED413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rPr>
                <w:b/>
                <w:sz w:val="20"/>
                <w:szCs w:val="20"/>
              </w:rPr>
            </w:pPr>
            <w:proofErr w:type="spellStart"/>
            <w:r w:rsidRPr="00ED4130"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1" w:type="dxa"/>
          </w:tcPr>
          <w:p w:rsidR="003526DE" w:rsidRPr="00ED4130" w:rsidRDefault="00F072E7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1532,6</w:t>
            </w:r>
            <w:r w:rsidR="00EB32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1445,94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526DE" w:rsidRPr="00ED4130" w:rsidRDefault="002B4280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-86,7</w:t>
            </w:r>
            <w:r w:rsidR="00EB32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7" w:type="dxa"/>
          </w:tcPr>
          <w:p w:rsidR="003526DE" w:rsidRPr="00ED4130" w:rsidRDefault="00EB32FC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94,34</w:t>
            </w:r>
          </w:p>
        </w:tc>
        <w:tc>
          <w:tcPr>
            <w:tcW w:w="1008" w:type="dxa"/>
          </w:tcPr>
          <w:p w:rsidR="003526DE" w:rsidRPr="00ED4130" w:rsidRDefault="002B4280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717,27</w:t>
            </w:r>
          </w:p>
        </w:tc>
        <w:tc>
          <w:tcPr>
            <w:tcW w:w="972" w:type="dxa"/>
          </w:tcPr>
          <w:p w:rsidR="003526DE" w:rsidRPr="00ED4130" w:rsidRDefault="002B4280" w:rsidP="003526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720,55</w:t>
            </w:r>
          </w:p>
        </w:tc>
      </w:tr>
    </w:tbl>
    <w:p w:rsidR="003526DE" w:rsidRPr="00ED4130" w:rsidRDefault="003526DE" w:rsidP="003526DE">
      <w:pPr>
        <w:contextualSpacing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</w:r>
    </w:p>
    <w:p w:rsidR="003526DE" w:rsidRPr="00EB32FC" w:rsidRDefault="003526DE" w:rsidP="003526DE">
      <w:pPr>
        <w:spacing w:line="360" w:lineRule="auto"/>
        <w:contextualSpacing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Как и в предыдущем периоде, приоритетными направлениями расходования средств в 201</w:t>
      </w:r>
      <w:r w:rsidR="00EB32FC">
        <w:rPr>
          <w:sz w:val="28"/>
          <w:szCs w:val="28"/>
        </w:rPr>
        <w:t>8 году являются:</w:t>
      </w:r>
      <w:r w:rsidRPr="00ED4130">
        <w:rPr>
          <w:sz w:val="28"/>
          <w:szCs w:val="28"/>
        </w:rPr>
        <w:t xml:space="preserve"> общ</w:t>
      </w:r>
      <w:r w:rsidR="00EB32FC">
        <w:rPr>
          <w:sz w:val="28"/>
          <w:szCs w:val="28"/>
        </w:rPr>
        <w:t>егосударственные вопросы – 53,06 процента</w:t>
      </w:r>
      <w:r w:rsidRPr="00ED4130">
        <w:rPr>
          <w:sz w:val="28"/>
          <w:szCs w:val="28"/>
        </w:rPr>
        <w:t xml:space="preserve"> (2019 год</w:t>
      </w:r>
      <w:r w:rsidR="00EB32FC">
        <w:rPr>
          <w:sz w:val="28"/>
          <w:szCs w:val="28"/>
        </w:rPr>
        <w:t xml:space="preserve"> - 79,52 процента, 2020 год - 79,61</w:t>
      </w:r>
      <w:r w:rsidRPr="00ED4130">
        <w:rPr>
          <w:sz w:val="28"/>
          <w:szCs w:val="28"/>
        </w:rPr>
        <w:t xml:space="preserve"> процентов)</w:t>
      </w:r>
      <w:r w:rsidR="00EB32FC">
        <w:rPr>
          <w:sz w:val="28"/>
          <w:szCs w:val="28"/>
        </w:rPr>
        <w:t>, национальная оборона 10,16 процента (2019 год - 20,48 процента, 2020 год - 20,39 процента), национальная экономика 28,13 процента (на 2019-2020 годы суммы по национальной экономике не прогнозируются).</w:t>
      </w:r>
    </w:p>
    <w:p w:rsidR="003526DE" w:rsidRDefault="003526DE" w:rsidP="003526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>Раздел 0100 «Общегосударственные вопросы»</w:t>
      </w:r>
    </w:p>
    <w:p w:rsidR="006F4E90" w:rsidRPr="00ED4130" w:rsidRDefault="006F4E90" w:rsidP="003526D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4130">
        <w:rPr>
          <w:sz w:val="28"/>
          <w:szCs w:val="28"/>
        </w:rPr>
        <w:t>Поскольку не представлена информация об ожидаемом исполнении бюджета за 2017 год, Контрольно-счетный орган Ольгинского муниципального района анализирует плановые по</w:t>
      </w:r>
      <w:r>
        <w:rPr>
          <w:sz w:val="28"/>
          <w:szCs w:val="28"/>
        </w:rPr>
        <w:t>казатели на 2017 год и 2018 год</w:t>
      </w:r>
      <w:r w:rsidRPr="00ED4130">
        <w:rPr>
          <w:sz w:val="28"/>
          <w:szCs w:val="28"/>
        </w:rPr>
        <w:t>.</w:t>
      </w:r>
      <w:r w:rsidRPr="00ED4130">
        <w:rPr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</w:p>
    <w:p w:rsidR="003526DE" w:rsidRPr="00ED4130" w:rsidRDefault="003526DE" w:rsidP="003526D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lastRenderedPageBreak/>
        <w:tab/>
        <w:t>Проекто</w:t>
      </w:r>
      <w:r w:rsidR="00EB32FC">
        <w:rPr>
          <w:sz w:val="28"/>
          <w:szCs w:val="28"/>
        </w:rPr>
        <w:t>м бюджета Молдавановского сельского</w:t>
      </w:r>
      <w:r w:rsidRPr="00ED4130">
        <w:rPr>
          <w:sz w:val="28"/>
          <w:szCs w:val="28"/>
        </w:rPr>
        <w:t xml:space="preserve"> поселения на 2018 год по данному разделу прогнозируются бюджетны</w:t>
      </w:r>
      <w:r w:rsidR="00B26F9C">
        <w:rPr>
          <w:sz w:val="28"/>
          <w:szCs w:val="28"/>
        </w:rPr>
        <w:t>е ассигнования в размере 767,25тыс. руб., что составляет 106,2</w:t>
      </w:r>
      <w:r w:rsidRPr="00ED4130">
        <w:rPr>
          <w:sz w:val="28"/>
          <w:szCs w:val="28"/>
        </w:rPr>
        <w:t>5 процент</w:t>
      </w:r>
      <w:r w:rsidR="00B26F9C">
        <w:rPr>
          <w:sz w:val="28"/>
          <w:szCs w:val="28"/>
        </w:rPr>
        <w:t>а</w:t>
      </w:r>
      <w:r w:rsidRPr="00ED4130">
        <w:rPr>
          <w:sz w:val="28"/>
          <w:szCs w:val="28"/>
        </w:rPr>
        <w:t xml:space="preserve"> от утвержденных бюджетных ассигнований 2017года. Удельный вес расх</w:t>
      </w:r>
      <w:r w:rsidR="00B26F9C">
        <w:rPr>
          <w:sz w:val="28"/>
          <w:szCs w:val="28"/>
        </w:rPr>
        <w:t>одов по разделу составляет 53,06</w:t>
      </w:r>
      <w:r w:rsidRPr="00ED4130">
        <w:rPr>
          <w:sz w:val="28"/>
          <w:szCs w:val="28"/>
        </w:rPr>
        <w:t xml:space="preserve"> процента в общих расхода</w:t>
      </w:r>
      <w:r w:rsidR="00B26F9C">
        <w:rPr>
          <w:sz w:val="28"/>
          <w:szCs w:val="28"/>
        </w:rPr>
        <w:t>х бюджета Молдавановского сельского</w:t>
      </w:r>
      <w:r w:rsidRPr="00ED4130">
        <w:rPr>
          <w:sz w:val="28"/>
          <w:szCs w:val="28"/>
        </w:rPr>
        <w:t xml:space="preserve"> поселения. На плановый период расходы планир</w:t>
      </w:r>
      <w:r w:rsidR="00B26F9C">
        <w:rPr>
          <w:sz w:val="28"/>
          <w:szCs w:val="28"/>
        </w:rPr>
        <w:t>уются в сумме: 2019 год- 570,37. руб., на 2020 год – 573,65</w:t>
      </w:r>
      <w:r w:rsidRPr="00ED4130">
        <w:rPr>
          <w:sz w:val="28"/>
          <w:szCs w:val="28"/>
        </w:rPr>
        <w:t xml:space="preserve"> тыс. руб.</w:t>
      </w:r>
    </w:p>
    <w:p w:rsidR="003526DE" w:rsidRPr="00ED4130" w:rsidRDefault="003526DE" w:rsidP="003526DE">
      <w:pPr>
        <w:autoSpaceDE w:val="0"/>
        <w:autoSpaceDN w:val="0"/>
        <w:adjustRightInd w:val="0"/>
        <w:ind w:firstLine="720"/>
        <w:jc w:val="both"/>
      </w:pPr>
      <w:r w:rsidRPr="00ED4130">
        <w:tab/>
      </w:r>
      <w:r w:rsidRPr="00ED4130">
        <w:tab/>
      </w:r>
      <w:r w:rsidRPr="00ED4130">
        <w:tab/>
      </w:r>
      <w:r w:rsidRPr="00ED4130">
        <w:tab/>
      </w:r>
      <w:r w:rsidRPr="00ED4130">
        <w:tab/>
      </w:r>
      <w:r w:rsidRPr="00ED4130">
        <w:tab/>
      </w:r>
      <w:r w:rsidRPr="00ED4130">
        <w:tab/>
      </w:r>
      <w:r w:rsidRPr="00ED4130">
        <w:tab/>
      </w:r>
      <w:r w:rsidR="006F4E90">
        <w:tab/>
      </w:r>
      <w:r w:rsidRPr="00ED4130">
        <w:t>Таблица № 3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20"/>
        <w:gridCol w:w="1123"/>
        <w:gridCol w:w="1066"/>
        <w:gridCol w:w="1061"/>
        <w:gridCol w:w="991"/>
        <w:gridCol w:w="992"/>
        <w:gridCol w:w="992"/>
      </w:tblGrid>
      <w:tr w:rsidR="003526DE" w:rsidRPr="00ED4130" w:rsidTr="004F7B40">
        <w:tc>
          <w:tcPr>
            <w:tcW w:w="2978" w:type="dxa"/>
            <w:vMerge w:val="restart"/>
            <w:vAlign w:val="center"/>
          </w:tcPr>
          <w:p w:rsidR="003526DE" w:rsidRPr="00ED4130" w:rsidRDefault="003526DE" w:rsidP="003526DE">
            <w:pPr>
              <w:tabs>
                <w:tab w:val="left" w:pos="2610"/>
              </w:tabs>
              <w:autoSpaceDE w:val="0"/>
              <w:autoSpaceDN w:val="0"/>
              <w:adjustRightInd w:val="0"/>
              <w:ind w:left="176" w:hanging="176"/>
              <w:jc w:val="center"/>
            </w:pPr>
            <w:r w:rsidRPr="00ED4130">
              <w:t>Наименование  раздела/подраздела</w:t>
            </w:r>
          </w:p>
        </w:tc>
        <w:tc>
          <w:tcPr>
            <w:tcW w:w="720" w:type="dxa"/>
            <w:vMerge w:val="restart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Раздел/</w:t>
            </w:r>
          </w:p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  <w:r w:rsidRPr="00ED4130">
              <w:t>подраздел</w:t>
            </w:r>
          </w:p>
        </w:tc>
        <w:tc>
          <w:tcPr>
            <w:tcW w:w="1123" w:type="dxa"/>
            <w:vMerge w:val="restart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  <w:r w:rsidRPr="00ED4130">
              <w:t xml:space="preserve">План 2017 года </w:t>
            </w:r>
          </w:p>
        </w:tc>
        <w:tc>
          <w:tcPr>
            <w:tcW w:w="1066" w:type="dxa"/>
            <w:vMerge w:val="restart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Проект</w:t>
            </w:r>
          </w:p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  <w:r w:rsidRPr="00ED4130">
              <w:t>2018 года</w:t>
            </w:r>
          </w:p>
        </w:tc>
        <w:tc>
          <w:tcPr>
            <w:tcW w:w="2052" w:type="dxa"/>
            <w:gridSpan w:val="2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  <w:r w:rsidRPr="00ED4130">
              <w:t>Проект 2018 г. к плану 2017г.</w:t>
            </w:r>
          </w:p>
        </w:tc>
        <w:tc>
          <w:tcPr>
            <w:tcW w:w="992" w:type="dxa"/>
            <w:vMerge w:val="restart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2019 год проект</w:t>
            </w:r>
          </w:p>
        </w:tc>
        <w:tc>
          <w:tcPr>
            <w:tcW w:w="992" w:type="dxa"/>
            <w:vMerge w:val="restart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2020 год проект</w:t>
            </w:r>
          </w:p>
        </w:tc>
      </w:tr>
      <w:tr w:rsidR="003526DE" w:rsidRPr="00ED4130" w:rsidTr="004F7B40">
        <w:tc>
          <w:tcPr>
            <w:tcW w:w="2978" w:type="dxa"/>
            <w:vMerge/>
          </w:tcPr>
          <w:p w:rsidR="003526DE" w:rsidRPr="00ED4130" w:rsidRDefault="003526DE" w:rsidP="003526DE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vMerge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23" w:type="dxa"/>
            <w:vMerge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6" w:type="dxa"/>
            <w:vMerge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1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тыс. руб.</w:t>
            </w:r>
          </w:p>
        </w:tc>
        <w:tc>
          <w:tcPr>
            <w:tcW w:w="991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%%</w:t>
            </w:r>
          </w:p>
        </w:tc>
        <w:tc>
          <w:tcPr>
            <w:tcW w:w="992" w:type="dxa"/>
            <w:vMerge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526DE" w:rsidRPr="00ED4130" w:rsidTr="004F7B40">
        <w:tc>
          <w:tcPr>
            <w:tcW w:w="2978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1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2</w:t>
            </w:r>
          </w:p>
        </w:tc>
        <w:tc>
          <w:tcPr>
            <w:tcW w:w="1123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3</w:t>
            </w:r>
          </w:p>
        </w:tc>
        <w:tc>
          <w:tcPr>
            <w:tcW w:w="1066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4</w:t>
            </w:r>
          </w:p>
        </w:tc>
        <w:tc>
          <w:tcPr>
            <w:tcW w:w="1061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5</w:t>
            </w:r>
          </w:p>
        </w:tc>
        <w:tc>
          <w:tcPr>
            <w:tcW w:w="991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6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7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  <w:jc w:val="center"/>
            </w:pPr>
            <w:r w:rsidRPr="00ED4130">
              <w:t>8</w:t>
            </w:r>
          </w:p>
        </w:tc>
      </w:tr>
      <w:tr w:rsidR="00B26F9C" w:rsidRPr="00ED4130" w:rsidTr="004F7B40">
        <w:tc>
          <w:tcPr>
            <w:tcW w:w="2978" w:type="dxa"/>
          </w:tcPr>
          <w:p w:rsidR="00B26F9C" w:rsidRPr="00ED4130" w:rsidRDefault="00B26F9C" w:rsidP="003526DE">
            <w:pPr>
              <w:autoSpaceDE w:val="0"/>
              <w:autoSpaceDN w:val="0"/>
              <w:adjustRightInd w:val="0"/>
              <w:rPr>
                <w:b/>
              </w:rPr>
            </w:pPr>
            <w:r w:rsidRPr="00ED4130">
              <w:rPr>
                <w:b/>
              </w:rPr>
              <w:t xml:space="preserve">Общегосударственные вопросы, всего, </w:t>
            </w:r>
            <w:r w:rsidRPr="00ED4130">
              <w:t>из них</w:t>
            </w:r>
            <w:r w:rsidRPr="00ED4130">
              <w:rPr>
                <w:b/>
              </w:rPr>
              <w:t>:</w:t>
            </w:r>
          </w:p>
        </w:tc>
        <w:tc>
          <w:tcPr>
            <w:tcW w:w="720" w:type="dxa"/>
          </w:tcPr>
          <w:p w:rsidR="00B26F9C" w:rsidRPr="00ED4130" w:rsidRDefault="00B26F9C" w:rsidP="003526DE">
            <w:pPr>
              <w:autoSpaceDE w:val="0"/>
              <w:autoSpaceDN w:val="0"/>
              <w:adjustRightInd w:val="0"/>
              <w:rPr>
                <w:b/>
              </w:rPr>
            </w:pPr>
            <w:r w:rsidRPr="00ED4130">
              <w:rPr>
                <w:b/>
              </w:rPr>
              <w:t>0100</w:t>
            </w:r>
          </w:p>
        </w:tc>
        <w:tc>
          <w:tcPr>
            <w:tcW w:w="1123" w:type="dxa"/>
          </w:tcPr>
          <w:p w:rsidR="00B26F9C" w:rsidRPr="00ED4130" w:rsidRDefault="00B26F9C" w:rsidP="003526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722,15</w:t>
            </w:r>
          </w:p>
        </w:tc>
        <w:tc>
          <w:tcPr>
            <w:tcW w:w="1066" w:type="dxa"/>
          </w:tcPr>
          <w:p w:rsidR="00B26F9C" w:rsidRPr="00ED4130" w:rsidRDefault="00B26F9C" w:rsidP="003526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767,25</w:t>
            </w:r>
          </w:p>
        </w:tc>
        <w:tc>
          <w:tcPr>
            <w:tcW w:w="1061" w:type="dxa"/>
          </w:tcPr>
          <w:p w:rsidR="00B26F9C" w:rsidRPr="00ED4130" w:rsidRDefault="004F7B40" w:rsidP="003526D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45,10</w:t>
            </w:r>
          </w:p>
        </w:tc>
        <w:tc>
          <w:tcPr>
            <w:tcW w:w="991" w:type="dxa"/>
          </w:tcPr>
          <w:p w:rsidR="00B26F9C" w:rsidRPr="00ED4130" w:rsidRDefault="004F7B40" w:rsidP="003526DE">
            <w:pPr>
              <w:autoSpaceDE w:val="0"/>
              <w:autoSpaceDN w:val="0"/>
              <w:adjustRightInd w:val="0"/>
              <w:ind w:right="-250"/>
            </w:pPr>
            <w:r>
              <w:t>106,25</w:t>
            </w:r>
          </w:p>
        </w:tc>
        <w:tc>
          <w:tcPr>
            <w:tcW w:w="992" w:type="dxa"/>
          </w:tcPr>
          <w:p w:rsidR="00B26F9C" w:rsidRPr="00ED4130" w:rsidRDefault="00B26F9C" w:rsidP="000E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570,37</w:t>
            </w:r>
          </w:p>
        </w:tc>
        <w:tc>
          <w:tcPr>
            <w:tcW w:w="992" w:type="dxa"/>
          </w:tcPr>
          <w:p w:rsidR="00B26F9C" w:rsidRPr="00ED4130" w:rsidRDefault="00B26F9C" w:rsidP="000E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573,65</w:t>
            </w:r>
          </w:p>
        </w:tc>
      </w:tr>
      <w:tr w:rsidR="003526DE" w:rsidRPr="00ED4130" w:rsidTr="004F7B40">
        <w:tc>
          <w:tcPr>
            <w:tcW w:w="2978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в т.ч. выплаты персоналу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591,64</w:t>
            </w:r>
          </w:p>
        </w:tc>
        <w:tc>
          <w:tcPr>
            <w:tcW w:w="1066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758,49</w:t>
            </w:r>
          </w:p>
        </w:tc>
        <w:tc>
          <w:tcPr>
            <w:tcW w:w="106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166,85</w:t>
            </w:r>
          </w:p>
        </w:tc>
        <w:tc>
          <w:tcPr>
            <w:tcW w:w="99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128,20</w:t>
            </w:r>
          </w:p>
        </w:tc>
        <w:tc>
          <w:tcPr>
            <w:tcW w:w="992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570,37</w:t>
            </w:r>
          </w:p>
        </w:tc>
        <w:tc>
          <w:tcPr>
            <w:tcW w:w="992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573,64</w:t>
            </w:r>
          </w:p>
        </w:tc>
      </w:tr>
      <w:tr w:rsidR="003526DE" w:rsidRPr="00ED4130" w:rsidTr="004F7B40">
        <w:tc>
          <w:tcPr>
            <w:tcW w:w="2978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 xml:space="preserve">Функционирование высшего должностного лица 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0102</w:t>
            </w:r>
          </w:p>
        </w:tc>
        <w:tc>
          <w:tcPr>
            <w:tcW w:w="1123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416,94</w:t>
            </w:r>
          </w:p>
        </w:tc>
        <w:tc>
          <w:tcPr>
            <w:tcW w:w="1066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627,46</w:t>
            </w:r>
          </w:p>
        </w:tc>
        <w:tc>
          <w:tcPr>
            <w:tcW w:w="106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210,52</w:t>
            </w:r>
          </w:p>
        </w:tc>
        <w:tc>
          <w:tcPr>
            <w:tcW w:w="99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150,49</w:t>
            </w:r>
          </w:p>
        </w:tc>
        <w:tc>
          <w:tcPr>
            <w:tcW w:w="992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469,73</w:t>
            </w:r>
          </w:p>
        </w:tc>
        <w:tc>
          <w:tcPr>
            <w:tcW w:w="992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473,00</w:t>
            </w:r>
          </w:p>
        </w:tc>
      </w:tr>
      <w:tr w:rsidR="004F7B40" w:rsidRPr="00ED4130" w:rsidTr="004F7B40">
        <w:tc>
          <w:tcPr>
            <w:tcW w:w="2978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 w:rsidRPr="00ED4130">
              <w:t>в т.ч. выплаты персоналу</w:t>
            </w:r>
          </w:p>
        </w:tc>
        <w:tc>
          <w:tcPr>
            <w:tcW w:w="720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>
              <w:t>416,94</w:t>
            </w:r>
          </w:p>
        </w:tc>
        <w:tc>
          <w:tcPr>
            <w:tcW w:w="1066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>
              <w:t>627,46</w:t>
            </w:r>
          </w:p>
        </w:tc>
        <w:tc>
          <w:tcPr>
            <w:tcW w:w="1061" w:type="dxa"/>
          </w:tcPr>
          <w:p w:rsidR="004F7B40" w:rsidRPr="00ED4130" w:rsidRDefault="004F7B40" w:rsidP="000E3F8B">
            <w:pPr>
              <w:autoSpaceDE w:val="0"/>
              <w:autoSpaceDN w:val="0"/>
              <w:adjustRightInd w:val="0"/>
            </w:pPr>
            <w:r>
              <w:t>210,52</w:t>
            </w:r>
          </w:p>
        </w:tc>
        <w:tc>
          <w:tcPr>
            <w:tcW w:w="991" w:type="dxa"/>
          </w:tcPr>
          <w:p w:rsidR="004F7B40" w:rsidRPr="00ED4130" w:rsidRDefault="004F7B40" w:rsidP="000E3F8B">
            <w:pPr>
              <w:autoSpaceDE w:val="0"/>
              <w:autoSpaceDN w:val="0"/>
              <w:adjustRightInd w:val="0"/>
            </w:pPr>
            <w:r>
              <w:t>150,49</w:t>
            </w:r>
          </w:p>
        </w:tc>
        <w:tc>
          <w:tcPr>
            <w:tcW w:w="992" w:type="dxa"/>
          </w:tcPr>
          <w:p w:rsidR="004F7B40" w:rsidRPr="00ED4130" w:rsidRDefault="004F7B40" w:rsidP="000E3F8B">
            <w:pPr>
              <w:autoSpaceDE w:val="0"/>
              <w:autoSpaceDN w:val="0"/>
              <w:adjustRightInd w:val="0"/>
            </w:pPr>
            <w:r>
              <w:t>469,73</w:t>
            </w:r>
          </w:p>
        </w:tc>
        <w:tc>
          <w:tcPr>
            <w:tcW w:w="992" w:type="dxa"/>
          </w:tcPr>
          <w:p w:rsidR="004F7B40" w:rsidRPr="00ED4130" w:rsidRDefault="004F7B40" w:rsidP="000E3F8B">
            <w:pPr>
              <w:autoSpaceDE w:val="0"/>
              <w:autoSpaceDN w:val="0"/>
              <w:adjustRightInd w:val="0"/>
            </w:pPr>
            <w:r>
              <w:t>473,00</w:t>
            </w:r>
          </w:p>
        </w:tc>
      </w:tr>
      <w:tr w:rsidR="003526DE" w:rsidRPr="00ED4130" w:rsidTr="004F7B40">
        <w:tc>
          <w:tcPr>
            <w:tcW w:w="2978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 xml:space="preserve">Функционирование местных администраций 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0104</w:t>
            </w:r>
          </w:p>
        </w:tc>
        <w:tc>
          <w:tcPr>
            <w:tcW w:w="1123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254,78</w:t>
            </w:r>
          </w:p>
        </w:tc>
        <w:tc>
          <w:tcPr>
            <w:tcW w:w="1066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131,03</w:t>
            </w:r>
          </w:p>
        </w:tc>
        <w:tc>
          <w:tcPr>
            <w:tcW w:w="106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-123,75</w:t>
            </w:r>
          </w:p>
        </w:tc>
        <w:tc>
          <w:tcPr>
            <w:tcW w:w="99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51,43</w:t>
            </w:r>
          </w:p>
        </w:tc>
        <w:tc>
          <w:tcPr>
            <w:tcW w:w="992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100,64</w:t>
            </w:r>
          </w:p>
        </w:tc>
        <w:tc>
          <w:tcPr>
            <w:tcW w:w="992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100,64</w:t>
            </w:r>
          </w:p>
        </w:tc>
      </w:tr>
      <w:tr w:rsidR="004F7B40" w:rsidRPr="00ED4130" w:rsidTr="004F7B40">
        <w:tc>
          <w:tcPr>
            <w:tcW w:w="2978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 w:rsidRPr="00ED4130">
              <w:t>в т.ч. выплаты персоналу</w:t>
            </w:r>
          </w:p>
        </w:tc>
        <w:tc>
          <w:tcPr>
            <w:tcW w:w="720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>
              <w:t>174,70</w:t>
            </w:r>
          </w:p>
        </w:tc>
        <w:tc>
          <w:tcPr>
            <w:tcW w:w="1066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>
              <w:t>131,03</w:t>
            </w:r>
          </w:p>
        </w:tc>
        <w:tc>
          <w:tcPr>
            <w:tcW w:w="1061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>
              <w:t>-43,67</w:t>
            </w:r>
          </w:p>
        </w:tc>
        <w:tc>
          <w:tcPr>
            <w:tcW w:w="991" w:type="dxa"/>
          </w:tcPr>
          <w:p w:rsidR="004F7B40" w:rsidRPr="00ED4130" w:rsidRDefault="004F7B40" w:rsidP="003526DE">
            <w:pPr>
              <w:autoSpaceDE w:val="0"/>
              <w:autoSpaceDN w:val="0"/>
              <w:adjustRightInd w:val="0"/>
            </w:pPr>
            <w:r>
              <w:t>75,00</w:t>
            </w:r>
          </w:p>
        </w:tc>
        <w:tc>
          <w:tcPr>
            <w:tcW w:w="992" w:type="dxa"/>
          </w:tcPr>
          <w:p w:rsidR="004F7B40" w:rsidRPr="00ED4130" w:rsidRDefault="004F7B40" w:rsidP="000E3F8B">
            <w:pPr>
              <w:autoSpaceDE w:val="0"/>
              <w:autoSpaceDN w:val="0"/>
              <w:adjustRightInd w:val="0"/>
            </w:pPr>
            <w:r>
              <w:t>100,64</w:t>
            </w:r>
          </w:p>
        </w:tc>
        <w:tc>
          <w:tcPr>
            <w:tcW w:w="992" w:type="dxa"/>
          </w:tcPr>
          <w:p w:rsidR="004F7B40" w:rsidRPr="00ED4130" w:rsidRDefault="004F7B40" w:rsidP="000E3F8B">
            <w:pPr>
              <w:autoSpaceDE w:val="0"/>
              <w:autoSpaceDN w:val="0"/>
              <w:adjustRightInd w:val="0"/>
            </w:pPr>
            <w:r>
              <w:t>100,64</w:t>
            </w:r>
          </w:p>
        </w:tc>
      </w:tr>
      <w:tr w:rsidR="003526DE" w:rsidRPr="00ED4130" w:rsidTr="004F7B40">
        <w:tc>
          <w:tcPr>
            <w:tcW w:w="2978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  <w:r w:rsidRPr="00ED4130">
              <w:t>0106</w:t>
            </w:r>
          </w:p>
        </w:tc>
        <w:tc>
          <w:tcPr>
            <w:tcW w:w="1123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49,10</w:t>
            </w:r>
          </w:p>
        </w:tc>
        <w:tc>
          <w:tcPr>
            <w:tcW w:w="1066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7,34</w:t>
            </w:r>
          </w:p>
        </w:tc>
        <w:tc>
          <w:tcPr>
            <w:tcW w:w="106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-41,76</w:t>
            </w:r>
          </w:p>
        </w:tc>
        <w:tc>
          <w:tcPr>
            <w:tcW w:w="99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14,95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</w:p>
        </w:tc>
      </w:tr>
      <w:tr w:rsidR="003526DE" w:rsidRPr="00ED4130" w:rsidTr="004F7B40">
        <w:tc>
          <w:tcPr>
            <w:tcW w:w="2978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20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1123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1,33</w:t>
            </w:r>
          </w:p>
        </w:tc>
        <w:tc>
          <w:tcPr>
            <w:tcW w:w="1066" w:type="dxa"/>
          </w:tcPr>
          <w:p w:rsidR="003526DE" w:rsidRPr="00ED4130" w:rsidRDefault="00B26F9C" w:rsidP="003526DE">
            <w:pPr>
              <w:autoSpaceDE w:val="0"/>
              <w:autoSpaceDN w:val="0"/>
              <w:adjustRightInd w:val="0"/>
            </w:pPr>
            <w:r>
              <w:t>1,42</w:t>
            </w:r>
          </w:p>
        </w:tc>
        <w:tc>
          <w:tcPr>
            <w:tcW w:w="106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  <w:jc w:val="center"/>
            </w:pPr>
            <w:r>
              <w:t>0,09</w:t>
            </w:r>
          </w:p>
        </w:tc>
        <w:tc>
          <w:tcPr>
            <w:tcW w:w="991" w:type="dxa"/>
          </w:tcPr>
          <w:p w:rsidR="003526DE" w:rsidRPr="00ED4130" w:rsidRDefault="004F7B40" w:rsidP="003526DE">
            <w:pPr>
              <w:autoSpaceDE w:val="0"/>
              <w:autoSpaceDN w:val="0"/>
              <w:adjustRightInd w:val="0"/>
            </w:pPr>
            <w:r>
              <w:t>106,77</w:t>
            </w:r>
          </w:p>
        </w:tc>
        <w:tc>
          <w:tcPr>
            <w:tcW w:w="992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3526DE" w:rsidRPr="00ED4130" w:rsidRDefault="003526DE" w:rsidP="003526DE">
            <w:pPr>
              <w:autoSpaceDE w:val="0"/>
              <w:autoSpaceDN w:val="0"/>
              <w:adjustRightInd w:val="0"/>
            </w:pPr>
          </w:p>
        </w:tc>
      </w:tr>
    </w:tbl>
    <w:p w:rsidR="003526DE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</w:r>
    </w:p>
    <w:p w:rsidR="003526DE" w:rsidRPr="00ED4130" w:rsidRDefault="003526DE" w:rsidP="00287D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30">
        <w:rPr>
          <w:sz w:val="28"/>
          <w:szCs w:val="28"/>
        </w:rPr>
        <w:t>Проектом бюджета на 2018 год в структуре раздела по сравнению с 2017 годом прогнозируется снижение бюджетных ассигнований:</w:t>
      </w:r>
    </w:p>
    <w:p w:rsidR="003526DE" w:rsidRDefault="003526DE" w:rsidP="00287D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E90">
        <w:rPr>
          <w:sz w:val="28"/>
          <w:szCs w:val="28"/>
        </w:rPr>
        <w:t>-</w:t>
      </w:r>
      <w:r w:rsidR="006F4E90" w:rsidRPr="006F4E90">
        <w:rPr>
          <w:sz w:val="28"/>
          <w:szCs w:val="28"/>
        </w:rPr>
        <w:t xml:space="preserve"> на </w:t>
      </w:r>
      <w:r w:rsidR="00A12BAB">
        <w:rPr>
          <w:sz w:val="28"/>
          <w:szCs w:val="28"/>
        </w:rPr>
        <w:t>ф</w:t>
      </w:r>
      <w:r w:rsidR="006F4E90" w:rsidRPr="006F4E90">
        <w:rPr>
          <w:sz w:val="28"/>
          <w:szCs w:val="28"/>
        </w:rPr>
        <w:t>ункционирование местных администраций на сумму</w:t>
      </w:r>
      <w:r w:rsidR="006F4E90">
        <w:rPr>
          <w:sz w:val="28"/>
          <w:szCs w:val="28"/>
        </w:rPr>
        <w:t xml:space="preserve"> - 123,75</w:t>
      </w:r>
      <w:r w:rsidRPr="00ED4130">
        <w:rPr>
          <w:sz w:val="28"/>
          <w:szCs w:val="28"/>
        </w:rPr>
        <w:t xml:space="preserve"> тыс. руб.</w:t>
      </w:r>
      <w:r w:rsidR="006F4E90">
        <w:rPr>
          <w:sz w:val="28"/>
          <w:szCs w:val="28"/>
        </w:rPr>
        <w:t>;</w:t>
      </w:r>
    </w:p>
    <w:p w:rsidR="006F4E90" w:rsidRPr="00287D43" w:rsidRDefault="006F4E90" w:rsidP="00287D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7D43">
        <w:rPr>
          <w:sz w:val="28"/>
          <w:szCs w:val="28"/>
        </w:rPr>
        <w:t>- на обеспечение деятельности финансовых, налоговых и таможенных органов и органов финансового (финансово-бюджетного) надзора на сумму 41,76 тыс. руб.</w:t>
      </w:r>
    </w:p>
    <w:p w:rsidR="003526DE" w:rsidRPr="00ED4130" w:rsidRDefault="006F4E90" w:rsidP="00287D43">
      <w:pPr>
        <w:spacing w:line="360" w:lineRule="auto"/>
        <w:jc w:val="both"/>
        <w:rPr>
          <w:sz w:val="28"/>
          <w:szCs w:val="28"/>
        </w:rPr>
      </w:pPr>
      <w:r w:rsidRPr="00287D43">
        <w:rPr>
          <w:sz w:val="28"/>
          <w:szCs w:val="28"/>
        </w:rPr>
        <w:lastRenderedPageBreak/>
        <w:tab/>
      </w:r>
      <w:r w:rsidR="003526DE" w:rsidRPr="00287D43">
        <w:rPr>
          <w:sz w:val="28"/>
          <w:szCs w:val="28"/>
        </w:rPr>
        <w:t>Проектом бюджета на 2018 год в структуре раздела по сравнению с 2017</w:t>
      </w:r>
      <w:r w:rsidR="003526DE" w:rsidRPr="00ED4130">
        <w:rPr>
          <w:sz w:val="28"/>
          <w:szCs w:val="28"/>
        </w:rPr>
        <w:t xml:space="preserve"> годом прогнозируется увеличение бюджетных ассигнований: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- на обеспечение деятельно</w:t>
      </w:r>
      <w:r w:rsidR="006F4E90">
        <w:rPr>
          <w:sz w:val="28"/>
          <w:szCs w:val="28"/>
        </w:rPr>
        <w:t>сти главы Молдавановского сельского поселения на сумму - 210,52 тыс. руб. или на 50,49</w:t>
      </w:r>
      <w:r w:rsidRPr="00ED4130">
        <w:rPr>
          <w:sz w:val="28"/>
          <w:szCs w:val="28"/>
        </w:rPr>
        <w:t xml:space="preserve"> процента (подраздел 0102), в том </w:t>
      </w:r>
      <w:r w:rsidR="006F4E90">
        <w:rPr>
          <w:sz w:val="28"/>
          <w:szCs w:val="28"/>
        </w:rPr>
        <w:t>числе на выплаты персоналу 210,52</w:t>
      </w:r>
      <w:r w:rsidRPr="00ED4130">
        <w:rPr>
          <w:sz w:val="28"/>
          <w:szCs w:val="28"/>
        </w:rPr>
        <w:t xml:space="preserve"> тыс. руб.</w:t>
      </w:r>
    </w:p>
    <w:p w:rsidR="003526DE" w:rsidRPr="00ED4130" w:rsidRDefault="006F4E90" w:rsidP="003526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</w:t>
      </w:r>
      <w:r w:rsidR="003526DE" w:rsidRPr="00ED413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3526DE" w:rsidRPr="00ED4130">
        <w:rPr>
          <w:sz w:val="28"/>
          <w:szCs w:val="28"/>
        </w:rPr>
        <w:t xml:space="preserve"> 19 Законопроекта Приморского края "О краевом бюджете на 2018 год и плановый период 2019 и 2020 годов" (где установлено увеличение (индексация) оплаты труда путем увеличения в 1,04 раза или на 4,0 процента) Проектом решения "</w:t>
      </w:r>
      <w:r>
        <w:rPr>
          <w:sz w:val="28"/>
          <w:szCs w:val="28"/>
        </w:rPr>
        <w:t>О бюджете Молдавановского сельского</w:t>
      </w:r>
      <w:r w:rsidR="003526DE" w:rsidRPr="00ED4130">
        <w:rPr>
          <w:sz w:val="28"/>
          <w:szCs w:val="28"/>
        </w:rPr>
        <w:t xml:space="preserve"> поселения на 2018 год и плановый период 2019 и 2020 годов пунктом 20 предусмотрено проведение индексации размеров ежемесячного денежного вознаграждения и размеров окладов месяч</w:t>
      </w:r>
      <w:r>
        <w:rPr>
          <w:sz w:val="28"/>
          <w:szCs w:val="28"/>
        </w:rPr>
        <w:t>ного денежного содержания на 4,0 процента</w:t>
      </w:r>
      <w:r w:rsidR="003526DE" w:rsidRPr="00ED4130">
        <w:rPr>
          <w:sz w:val="28"/>
          <w:szCs w:val="28"/>
        </w:rPr>
        <w:t>.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>Раздел 0200 «Национальная оборона</w:t>
      </w:r>
      <w:r w:rsidRPr="00ED4130">
        <w:rPr>
          <w:sz w:val="28"/>
          <w:szCs w:val="28"/>
        </w:rPr>
        <w:t>»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Проекто</w:t>
      </w:r>
      <w:r w:rsidR="006F4E90">
        <w:rPr>
          <w:sz w:val="28"/>
          <w:szCs w:val="28"/>
        </w:rPr>
        <w:t>м бюджета Молдавановского сельского</w:t>
      </w:r>
      <w:r w:rsidRPr="00ED4130">
        <w:rPr>
          <w:sz w:val="28"/>
          <w:szCs w:val="28"/>
        </w:rPr>
        <w:t xml:space="preserve"> поселения по разделу 0200 «Национальная оборона» прогнозируются бюджетные ассигнования на осуществление первичного воинского учета на территориях, где отсутствуют военн</w:t>
      </w:r>
      <w:r w:rsidR="006F4E90">
        <w:rPr>
          <w:sz w:val="28"/>
          <w:szCs w:val="28"/>
        </w:rPr>
        <w:t>ые комиссариаты в размере 146,90</w:t>
      </w:r>
      <w:r w:rsidRPr="00ED4130">
        <w:rPr>
          <w:sz w:val="28"/>
          <w:szCs w:val="28"/>
        </w:rPr>
        <w:t xml:space="preserve"> тыс. руб., на уровне 2017 года. Удельный вес ра</w:t>
      </w:r>
      <w:r w:rsidR="006F4E90">
        <w:rPr>
          <w:sz w:val="28"/>
          <w:szCs w:val="28"/>
        </w:rPr>
        <w:t>сходов по разделу  составил 10,16</w:t>
      </w:r>
      <w:r w:rsidRPr="00ED4130">
        <w:rPr>
          <w:sz w:val="28"/>
          <w:szCs w:val="28"/>
        </w:rPr>
        <w:t xml:space="preserve"> процента в общих расходах.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>На плановый период 2019-2020 годов расходы предусмотрены на у</w:t>
      </w:r>
      <w:r w:rsidR="006F4E90">
        <w:rPr>
          <w:sz w:val="28"/>
          <w:szCs w:val="28"/>
        </w:rPr>
        <w:t>ровне 2017 года в размере 146,90</w:t>
      </w:r>
      <w:r w:rsidRPr="00ED4130">
        <w:rPr>
          <w:sz w:val="28"/>
          <w:szCs w:val="28"/>
        </w:rPr>
        <w:t xml:space="preserve"> тыс. руб., ежегодно.</w:t>
      </w:r>
    </w:p>
    <w:p w:rsidR="003526DE" w:rsidRDefault="003526DE" w:rsidP="003526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DE" w:rsidRPr="00ED4130" w:rsidRDefault="003526DE" w:rsidP="003526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30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3526DE" w:rsidRPr="00ED4130" w:rsidRDefault="003526DE" w:rsidP="003526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ab/>
        <w:t xml:space="preserve">Проектом бюджета </w:t>
      </w:r>
      <w:r w:rsidR="00E713BE">
        <w:rPr>
          <w:sz w:val="28"/>
          <w:szCs w:val="28"/>
        </w:rPr>
        <w:t>Молдавановского сельского</w:t>
      </w:r>
      <w:r w:rsidR="00E713BE" w:rsidRPr="00ED4130">
        <w:rPr>
          <w:sz w:val="28"/>
          <w:szCs w:val="28"/>
        </w:rPr>
        <w:t xml:space="preserve"> </w:t>
      </w:r>
      <w:r w:rsidRPr="00ED4130">
        <w:rPr>
          <w:sz w:val="28"/>
          <w:szCs w:val="28"/>
        </w:rPr>
        <w:t>поселения по разделу 0400 «Национальная экономика» на 2018 год прогнозируются бюджетны</w:t>
      </w:r>
      <w:r w:rsidR="00E713BE">
        <w:rPr>
          <w:sz w:val="28"/>
          <w:szCs w:val="28"/>
        </w:rPr>
        <w:t>е ассигнования в размере 406,79 тыс. руб., что на 250,81 тыс. руб. или на 38,14 процента</w:t>
      </w:r>
      <w:r w:rsidRPr="00ED4130">
        <w:rPr>
          <w:sz w:val="28"/>
          <w:szCs w:val="28"/>
        </w:rPr>
        <w:t xml:space="preserve"> меньше бюджетных назн</w:t>
      </w:r>
      <w:r w:rsidR="00E713BE">
        <w:rPr>
          <w:sz w:val="28"/>
          <w:szCs w:val="28"/>
        </w:rPr>
        <w:t xml:space="preserve">ачений 2017года. Доля расходов </w:t>
      </w:r>
      <w:r w:rsidRPr="00ED4130">
        <w:rPr>
          <w:sz w:val="28"/>
          <w:szCs w:val="28"/>
        </w:rPr>
        <w:t>по у</w:t>
      </w:r>
      <w:r w:rsidR="00E713BE">
        <w:rPr>
          <w:sz w:val="28"/>
          <w:szCs w:val="28"/>
        </w:rPr>
        <w:t>казанному разделу составит 28,13 процента</w:t>
      </w:r>
      <w:r w:rsidRPr="00ED4130">
        <w:rPr>
          <w:sz w:val="28"/>
          <w:szCs w:val="28"/>
        </w:rPr>
        <w:t xml:space="preserve"> от всех расходов бюджета</w:t>
      </w:r>
      <w:r w:rsidR="00E713BE" w:rsidRPr="00E713BE">
        <w:rPr>
          <w:sz w:val="28"/>
          <w:szCs w:val="28"/>
        </w:rPr>
        <w:t xml:space="preserve"> </w:t>
      </w:r>
      <w:r w:rsidR="00E713BE">
        <w:rPr>
          <w:sz w:val="28"/>
          <w:szCs w:val="28"/>
        </w:rPr>
        <w:t xml:space="preserve">Молдавановского сельского </w:t>
      </w:r>
      <w:r w:rsidRPr="00ED4130">
        <w:rPr>
          <w:sz w:val="28"/>
          <w:szCs w:val="28"/>
        </w:rPr>
        <w:t>поселения.</w:t>
      </w:r>
      <w:r w:rsidR="00E713BE">
        <w:rPr>
          <w:sz w:val="28"/>
          <w:szCs w:val="28"/>
        </w:rPr>
        <w:t xml:space="preserve"> Как в 2017 году, так и в 2018 году бюджетные ассигнования направляются на выполнение мероприятий по </w:t>
      </w:r>
      <w:r w:rsidR="00E713BE">
        <w:rPr>
          <w:sz w:val="28"/>
          <w:szCs w:val="28"/>
        </w:rPr>
        <w:lastRenderedPageBreak/>
        <w:t>содержанию автомобильных дорог и инженерных сооружений на них в границах поселений в рамках благоустройства.</w:t>
      </w:r>
    </w:p>
    <w:p w:rsidR="003526DE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 xml:space="preserve">На плановый период </w:t>
      </w:r>
      <w:r w:rsidR="00E713BE">
        <w:rPr>
          <w:sz w:val="28"/>
          <w:szCs w:val="28"/>
        </w:rPr>
        <w:t xml:space="preserve">2019-2020гг. </w:t>
      </w:r>
      <w:r w:rsidRPr="00ED4130">
        <w:rPr>
          <w:sz w:val="28"/>
          <w:szCs w:val="28"/>
        </w:rPr>
        <w:t xml:space="preserve">расходы по разделу </w:t>
      </w:r>
      <w:r w:rsidR="00E713BE">
        <w:rPr>
          <w:sz w:val="28"/>
          <w:szCs w:val="28"/>
        </w:rPr>
        <w:t>не прогнозируются.</w:t>
      </w:r>
    </w:p>
    <w:p w:rsidR="003526DE" w:rsidRPr="00ED4130" w:rsidRDefault="003526DE" w:rsidP="00847383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 xml:space="preserve">Причины снижения по данному подразделу в Пояснительной записке к проекту бюджета не указаны, но как фактор снижения следует учитывать, что </w:t>
      </w:r>
      <w:r w:rsidR="00847383">
        <w:rPr>
          <w:sz w:val="28"/>
          <w:szCs w:val="28"/>
        </w:rPr>
        <w:t>снижаются на 2018 год и не прогнозируются на 2019-2020гг.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соглашениями.</w:t>
      </w:r>
    </w:p>
    <w:p w:rsidR="003526DE" w:rsidRPr="00ED4130" w:rsidRDefault="003526DE" w:rsidP="00352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6DE" w:rsidRPr="00ED4130" w:rsidRDefault="003526DE" w:rsidP="003526D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4130">
        <w:rPr>
          <w:rFonts w:ascii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</w:p>
    <w:p w:rsidR="003526DE" w:rsidRPr="00ED4130" w:rsidRDefault="003526DE" w:rsidP="003526D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6DE" w:rsidRDefault="003526DE" w:rsidP="008473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30">
        <w:rPr>
          <w:rFonts w:ascii="Times New Roman" w:hAnsi="Times New Roman" w:cs="Times New Roman"/>
          <w:sz w:val="28"/>
          <w:szCs w:val="28"/>
        </w:rPr>
        <w:tab/>
        <w:t>Проекто</w:t>
      </w:r>
      <w:r w:rsidR="00847383">
        <w:rPr>
          <w:rFonts w:ascii="Times New Roman" w:hAnsi="Times New Roman" w:cs="Times New Roman"/>
          <w:sz w:val="28"/>
          <w:szCs w:val="28"/>
        </w:rPr>
        <w:t>м бюджета Молдавановского сельского</w:t>
      </w:r>
      <w:r w:rsidRPr="00ED4130">
        <w:rPr>
          <w:rFonts w:ascii="Times New Roman" w:hAnsi="Times New Roman" w:cs="Times New Roman"/>
          <w:sz w:val="28"/>
          <w:szCs w:val="28"/>
        </w:rPr>
        <w:t xml:space="preserve"> поселения по разделу </w:t>
      </w:r>
      <w:r w:rsidRPr="00847383">
        <w:rPr>
          <w:rFonts w:ascii="Times New Roman" w:hAnsi="Times New Roman" w:cs="Times New Roman"/>
          <w:sz w:val="28"/>
          <w:szCs w:val="28"/>
        </w:rPr>
        <w:t>0500</w:t>
      </w:r>
      <w:r w:rsidR="00847383" w:rsidRPr="00847383">
        <w:rPr>
          <w:rFonts w:ascii="Times New Roman" w:hAnsi="Times New Roman" w:cs="Times New Roman"/>
          <w:sz w:val="28"/>
          <w:szCs w:val="28"/>
        </w:rPr>
        <w:t xml:space="preserve"> </w:t>
      </w:r>
      <w:r w:rsidRPr="00847383">
        <w:rPr>
          <w:rFonts w:ascii="Times New Roman" w:hAnsi="Times New Roman" w:cs="Times New Roman"/>
          <w:sz w:val="28"/>
          <w:szCs w:val="28"/>
        </w:rPr>
        <w:t>«Жилищно-коммунальное хозяйство» на 2018 год прогнозируются бюджетны</w:t>
      </w:r>
      <w:r w:rsidR="00847383">
        <w:rPr>
          <w:rFonts w:ascii="Times New Roman" w:hAnsi="Times New Roman" w:cs="Times New Roman"/>
          <w:sz w:val="28"/>
          <w:szCs w:val="28"/>
        </w:rPr>
        <w:t xml:space="preserve">е ассигнования в размере125,00 тыс. руб. На 2017 год по данному разделу средства не выделялись. </w:t>
      </w:r>
    </w:p>
    <w:p w:rsidR="00847383" w:rsidRPr="00847383" w:rsidRDefault="00847383" w:rsidP="0084738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прогнозируются по следующим направлениям:</w:t>
      </w:r>
    </w:p>
    <w:p w:rsidR="00847383" w:rsidRDefault="00847383" w:rsidP="0084738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полномочий по организации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водоснабжение населения, водоотведения, снабжения населения топливом в пределах полномочий, установленных законодательством Российской Федерации. Объемы межбюджетных трансфертов, передаваемых из бюджета Ольгинского муниципального района в бюджет Молдавановского сельского поселения, определяются исходя из годовой суммы межбюджетных трансфертов равной в 2018 году 100,00 тыс. руб.;</w:t>
      </w:r>
    </w:p>
    <w:p w:rsidR="003526DE" w:rsidRPr="00ED4130" w:rsidRDefault="00847383" w:rsidP="003526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организации ритуальных услуг и содержанию мест захоронения. Объем межбюджетных трансфертов, предоставляемых из бюджета Ольгинского муниципального района в бюджет поселения определяется исходя из годовой суммы равной в 2018 год</w:t>
      </w:r>
      <w:r w:rsidR="00D21F54">
        <w:rPr>
          <w:sz w:val="28"/>
          <w:szCs w:val="28"/>
        </w:rPr>
        <w:t>у в размере</w:t>
      </w:r>
      <w:r>
        <w:rPr>
          <w:sz w:val="28"/>
          <w:szCs w:val="28"/>
        </w:rPr>
        <w:t xml:space="preserve"> 25,00 тыс. руб.</w:t>
      </w:r>
      <w:r w:rsidR="00D21F54">
        <w:rPr>
          <w:sz w:val="28"/>
          <w:szCs w:val="28"/>
        </w:rPr>
        <w:t xml:space="preserve"> </w:t>
      </w:r>
      <w:r w:rsidR="003526DE" w:rsidRPr="00ED4130">
        <w:rPr>
          <w:sz w:val="28"/>
          <w:szCs w:val="28"/>
        </w:rPr>
        <w:t xml:space="preserve">На плановый период 2019-2020 годов расходы </w:t>
      </w:r>
      <w:r w:rsidR="00D21F54">
        <w:rPr>
          <w:sz w:val="28"/>
          <w:szCs w:val="28"/>
        </w:rPr>
        <w:t>не прогнозируются.</w:t>
      </w:r>
    </w:p>
    <w:p w:rsidR="00EF72F3" w:rsidRDefault="003526DE" w:rsidP="003526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F72F3" w:rsidRDefault="00EF72F3" w:rsidP="003526DE">
      <w:pPr>
        <w:jc w:val="both"/>
        <w:rPr>
          <w:b/>
          <w:sz w:val="28"/>
          <w:szCs w:val="28"/>
        </w:rPr>
      </w:pPr>
    </w:p>
    <w:p w:rsidR="00EF72F3" w:rsidRDefault="00EF72F3" w:rsidP="003526DE">
      <w:pPr>
        <w:jc w:val="both"/>
        <w:rPr>
          <w:b/>
          <w:sz w:val="28"/>
          <w:szCs w:val="28"/>
        </w:rPr>
      </w:pPr>
    </w:p>
    <w:p w:rsidR="00EF72F3" w:rsidRDefault="00EF72F3" w:rsidP="003526DE">
      <w:pPr>
        <w:jc w:val="both"/>
        <w:rPr>
          <w:b/>
          <w:sz w:val="28"/>
          <w:szCs w:val="28"/>
        </w:rPr>
      </w:pPr>
    </w:p>
    <w:p w:rsidR="003526DE" w:rsidRPr="00ED4130" w:rsidRDefault="00EF72F3" w:rsidP="003526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526DE" w:rsidRPr="00ED4130">
        <w:rPr>
          <w:b/>
          <w:sz w:val="28"/>
          <w:szCs w:val="28"/>
        </w:rPr>
        <w:t xml:space="preserve">«Межбюджетные трансферты» </w:t>
      </w:r>
    </w:p>
    <w:p w:rsidR="00287D43" w:rsidRPr="00ED4130" w:rsidRDefault="003526DE" w:rsidP="00287D4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D4130">
        <w:rPr>
          <w:b/>
          <w:sz w:val="28"/>
          <w:szCs w:val="28"/>
        </w:rPr>
        <w:tab/>
      </w:r>
      <w:r w:rsidR="00287D43">
        <w:rPr>
          <w:sz w:val="28"/>
          <w:szCs w:val="28"/>
        </w:rPr>
        <w:t>Согласно решению муниципального комитета Молдавановского сельского поселения от 11.10.2017 № 74 "О передаче к осуществлению части полномочий администрации</w:t>
      </w:r>
      <w:r w:rsidR="00287D43" w:rsidRPr="00287D43">
        <w:rPr>
          <w:sz w:val="28"/>
          <w:szCs w:val="28"/>
        </w:rPr>
        <w:t xml:space="preserve"> </w:t>
      </w:r>
      <w:r w:rsidR="00287D43">
        <w:rPr>
          <w:sz w:val="28"/>
          <w:szCs w:val="28"/>
        </w:rPr>
        <w:t>Молдавановского сельского поселения" о</w:t>
      </w:r>
      <w:r w:rsidRPr="00ED4130">
        <w:rPr>
          <w:bCs/>
          <w:iCs/>
          <w:sz w:val="28"/>
          <w:szCs w:val="28"/>
        </w:rPr>
        <w:t>бщий объем межбюджетных трансфертов, передаваемых и</w:t>
      </w:r>
      <w:r w:rsidR="00D21F54">
        <w:rPr>
          <w:bCs/>
          <w:iCs/>
          <w:sz w:val="28"/>
          <w:szCs w:val="28"/>
        </w:rPr>
        <w:t>з бюджета Молдавановского сельского</w:t>
      </w:r>
      <w:r w:rsidRPr="00ED4130">
        <w:rPr>
          <w:bCs/>
          <w:iCs/>
          <w:sz w:val="28"/>
          <w:szCs w:val="28"/>
        </w:rPr>
        <w:t xml:space="preserve"> поселения на выполнение полномочий, переданных по заключенным на 2018 год соглашениям для решения вопросов местного значения </w:t>
      </w:r>
      <w:r w:rsidR="005A7C05">
        <w:rPr>
          <w:bCs/>
          <w:iCs/>
          <w:sz w:val="28"/>
          <w:szCs w:val="28"/>
        </w:rPr>
        <w:t>прогнозируется в размере 8,76</w:t>
      </w:r>
      <w:r w:rsidRPr="00ED4130">
        <w:rPr>
          <w:bCs/>
          <w:iCs/>
          <w:sz w:val="28"/>
          <w:szCs w:val="28"/>
        </w:rPr>
        <w:t xml:space="preserve"> тыс. руб</w:t>
      </w:r>
      <w:r w:rsidR="00287D43">
        <w:rPr>
          <w:bCs/>
          <w:iCs/>
          <w:sz w:val="28"/>
          <w:szCs w:val="28"/>
        </w:rPr>
        <w:t>.</w:t>
      </w:r>
    </w:p>
    <w:p w:rsidR="003526DE" w:rsidRPr="00953E8F" w:rsidRDefault="003526DE" w:rsidP="00953E8F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ED4130">
        <w:rPr>
          <w:bCs/>
          <w:iCs/>
          <w:sz w:val="28"/>
          <w:szCs w:val="28"/>
        </w:rPr>
        <w:t>Н</w:t>
      </w:r>
      <w:r w:rsidRPr="00ED4130">
        <w:rPr>
          <w:sz w:val="28"/>
          <w:szCs w:val="28"/>
        </w:rPr>
        <w:t>а плановый период 2019 и 2020 годов межбюджетные трансферты</w:t>
      </w:r>
      <w:r w:rsidRPr="00ED4130">
        <w:rPr>
          <w:bCs/>
          <w:iCs/>
          <w:sz w:val="28"/>
          <w:szCs w:val="28"/>
        </w:rPr>
        <w:t xml:space="preserve"> передаваемые из бюджета </w:t>
      </w:r>
      <w:r w:rsidR="00287D43">
        <w:rPr>
          <w:sz w:val="28"/>
          <w:szCs w:val="28"/>
        </w:rPr>
        <w:t>Молдавановского сельского</w:t>
      </w:r>
      <w:r w:rsidRPr="00ED4130">
        <w:rPr>
          <w:bCs/>
          <w:iCs/>
          <w:sz w:val="28"/>
          <w:szCs w:val="28"/>
        </w:rPr>
        <w:t xml:space="preserve"> поселения</w:t>
      </w:r>
      <w:r w:rsidRPr="00ED4130">
        <w:rPr>
          <w:sz w:val="28"/>
          <w:szCs w:val="28"/>
        </w:rPr>
        <w:t xml:space="preserve"> не прогнозируются.</w:t>
      </w:r>
    </w:p>
    <w:p w:rsidR="003526DE" w:rsidRDefault="003526DE" w:rsidP="003526D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</w:r>
      <w:r w:rsidRPr="00ED4130">
        <w:rPr>
          <w:b/>
          <w:sz w:val="28"/>
          <w:szCs w:val="28"/>
        </w:rPr>
        <w:tab/>
        <w:t>Выводы</w:t>
      </w:r>
    </w:p>
    <w:p w:rsidR="00287D43" w:rsidRPr="00DD339C" w:rsidRDefault="00287D43" w:rsidP="00287D43">
      <w:pPr>
        <w:spacing w:line="360" w:lineRule="auto"/>
        <w:jc w:val="both"/>
        <w:rPr>
          <w:sz w:val="28"/>
          <w:szCs w:val="28"/>
        </w:rPr>
      </w:pPr>
      <w:r w:rsidRPr="00DD339C">
        <w:rPr>
          <w:sz w:val="28"/>
          <w:szCs w:val="28"/>
        </w:rPr>
        <w:t>В нарушение части 37 Положения о бюджетном устройстве, стат</w:t>
      </w:r>
      <w:r>
        <w:rPr>
          <w:sz w:val="28"/>
          <w:szCs w:val="28"/>
        </w:rPr>
        <w:t xml:space="preserve">ьи 184,2 Бюджетного кодекса РФ </w:t>
      </w:r>
      <w:r w:rsidRPr="00DD339C">
        <w:rPr>
          <w:sz w:val="28"/>
          <w:szCs w:val="28"/>
        </w:rPr>
        <w:t>не представлены:</w:t>
      </w:r>
    </w:p>
    <w:p w:rsidR="00287D43" w:rsidRPr="00DD339C" w:rsidRDefault="00287D43" w:rsidP="00287D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339C">
        <w:rPr>
          <w:sz w:val="28"/>
          <w:szCs w:val="28"/>
        </w:rPr>
        <w:t>основные направления бюджетной и налоговой по</w:t>
      </w:r>
      <w:r>
        <w:rPr>
          <w:sz w:val="28"/>
          <w:szCs w:val="28"/>
        </w:rPr>
        <w:t xml:space="preserve">литики </w:t>
      </w:r>
      <w:r w:rsidRPr="00DD339C">
        <w:rPr>
          <w:sz w:val="28"/>
          <w:szCs w:val="28"/>
        </w:rPr>
        <w:t>Молдавановского сельского поселения на очередной финансовый год и плановый период;</w:t>
      </w:r>
    </w:p>
    <w:p w:rsidR="00287D43" w:rsidRPr="00DD339C" w:rsidRDefault="00287D43" w:rsidP="00287D43">
      <w:pPr>
        <w:spacing w:line="360" w:lineRule="auto"/>
        <w:jc w:val="both"/>
        <w:rPr>
          <w:sz w:val="28"/>
          <w:szCs w:val="28"/>
        </w:rPr>
      </w:pPr>
      <w:r w:rsidRPr="00DD339C">
        <w:rPr>
          <w:sz w:val="28"/>
          <w:szCs w:val="28"/>
        </w:rPr>
        <w:t>- предварительные итоги социально-эк</w:t>
      </w:r>
      <w:r>
        <w:rPr>
          <w:sz w:val="28"/>
          <w:szCs w:val="28"/>
        </w:rPr>
        <w:t>ономического развития</w:t>
      </w:r>
      <w:r w:rsidRPr="00DD339C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</w:t>
      </w:r>
      <w:r>
        <w:rPr>
          <w:sz w:val="28"/>
          <w:szCs w:val="28"/>
        </w:rPr>
        <w:t>вития</w:t>
      </w:r>
      <w:r w:rsidRPr="00DD339C">
        <w:rPr>
          <w:sz w:val="28"/>
          <w:szCs w:val="28"/>
        </w:rPr>
        <w:t xml:space="preserve"> за текущий финансовый год;</w:t>
      </w:r>
    </w:p>
    <w:p w:rsidR="003526DE" w:rsidRDefault="00287D43" w:rsidP="00953E8F">
      <w:pPr>
        <w:spacing w:line="360" w:lineRule="auto"/>
        <w:jc w:val="both"/>
        <w:rPr>
          <w:sz w:val="28"/>
          <w:szCs w:val="28"/>
        </w:rPr>
      </w:pPr>
      <w:r w:rsidRPr="00DD339C">
        <w:rPr>
          <w:sz w:val="28"/>
          <w:szCs w:val="28"/>
        </w:rPr>
        <w:t>- прогно</w:t>
      </w:r>
      <w:r>
        <w:rPr>
          <w:sz w:val="28"/>
          <w:szCs w:val="28"/>
        </w:rPr>
        <w:t>з социально-экономического развития.</w:t>
      </w:r>
    </w:p>
    <w:p w:rsidR="00953E8F" w:rsidRPr="00953E8F" w:rsidRDefault="00953E8F" w:rsidP="00953E8F">
      <w:pPr>
        <w:spacing w:line="360" w:lineRule="auto"/>
        <w:jc w:val="both"/>
        <w:rPr>
          <w:sz w:val="16"/>
          <w:szCs w:val="16"/>
        </w:rPr>
      </w:pPr>
    </w:p>
    <w:p w:rsidR="003526DE" w:rsidRPr="00953E8F" w:rsidRDefault="003526DE" w:rsidP="003526DE">
      <w:pPr>
        <w:spacing w:line="360" w:lineRule="auto"/>
        <w:jc w:val="both"/>
        <w:rPr>
          <w:b/>
          <w:sz w:val="28"/>
          <w:szCs w:val="28"/>
        </w:rPr>
      </w:pP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953E8F">
        <w:rPr>
          <w:b/>
          <w:sz w:val="28"/>
          <w:szCs w:val="28"/>
        </w:rPr>
        <w:t>Заключительные положения</w:t>
      </w:r>
    </w:p>
    <w:p w:rsidR="003526DE" w:rsidRPr="00ED4130" w:rsidRDefault="003526DE" w:rsidP="003526DE">
      <w:pPr>
        <w:spacing w:line="360" w:lineRule="auto"/>
        <w:jc w:val="both"/>
        <w:rPr>
          <w:sz w:val="16"/>
          <w:szCs w:val="16"/>
        </w:rPr>
      </w:pP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 xml:space="preserve">1. Составление проекта бюджета </w:t>
      </w:r>
      <w:r w:rsidR="00953E8F">
        <w:rPr>
          <w:sz w:val="28"/>
          <w:szCs w:val="28"/>
        </w:rPr>
        <w:t>Молдавановского сельского</w:t>
      </w:r>
      <w:r w:rsidRPr="00ED4130">
        <w:rPr>
          <w:sz w:val="28"/>
          <w:szCs w:val="28"/>
        </w:rPr>
        <w:t xml:space="preserve"> поселения осуществлялось в соответствии с действующим бюджетным законодательством и положением о бюджетном процессе поселения.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2. Проект бюджета сбалансирован и является бездефицитным.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  <w:r w:rsidRPr="00ED4130">
        <w:rPr>
          <w:sz w:val="28"/>
          <w:szCs w:val="28"/>
        </w:rPr>
        <w:t>3. Прогноз по объемам доходной части бюджета реалистичен.</w:t>
      </w:r>
    </w:p>
    <w:p w:rsidR="003526DE" w:rsidRPr="00ED4130" w:rsidRDefault="003526DE" w:rsidP="003526D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30">
        <w:rPr>
          <w:rFonts w:ascii="Times New Roman" w:hAnsi="Times New Roman" w:cs="Times New Roman"/>
          <w:sz w:val="28"/>
          <w:szCs w:val="28"/>
        </w:rPr>
        <w:t>4. Расходы бюджета сформированы прежде всего исходя из необходимости обеспечения ранее принятых обязательств, с учетом коэффициентов индексации.</w:t>
      </w:r>
    </w:p>
    <w:p w:rsidR="00953E8F" w:rsidRDefault="003526DE" w:rsidP="00953E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30">
        <w:rPr>
          <w:rFonts w:ascii="Times New Roman" w:hAnsi="Times New Roman" w:cs="Times New Roman"/>
          <w:sz w:val="28"/>
          <w:szCs w:val="28"/>
        </w:rPr>
        <w:lastRenderedPageBreak/>
        <w:tab/>
        <w:t>Учитывая вышеизложенное Контрольно-счетный орган установил, что проект Решения "О бюджете</w:t>
      </w:r>
      <w:r w:rsidR="00953E8F">
        <w:rPr>
          <w:rFonts w:ascii="Times New Roman" w:hAnsi="Times New Roman" w:cs="Times New Roman"/>
          <w:sz w:val="28"/>
          <w:szCs w:val="28"/>
        </w:rPr>
        <w:t xml:space="preserve"> Молдавановского сельского</w:t>
      </w:r>
      <w:r w:rsidRPr="00ED4130">
        <w:rPr>
          <w:rFonts w:ascii="Times New Roman" w:hAnsi="Times New Roman" w:cs="Times New Roman"/>
          <w:sz w:val="28"/>
          <w:szCs w:val="28"/>
        </w:rPr>
        <w:t xml:space="preserve"> поселения на 2018 год и плановый период 2019 и 2020 годов в целом соответствует нормам и положениям бюджетного законодательства Российской Федерации</w:t>
      </w:r>
      <w:r w:rsidR="00953E8F">
        <w:rPr>
          <w:rFonts w:ascii="Times New Roman" w:hAnsi="Times New Roman" w:cs="Times New Roman"/>
          <w:sz w:val="28"/>
          <w:szCs w:val="28"/>
        </w:rPr>
        <w:t xml:space="preserve"> , Уставу Молдавановского сельского</w:t>
      </w:r>
      <w:r w:rsidRPr="00ED4130">
        <w:rPr>
          <w:rFonts w:ascii="Times New Roman" w:hAnsi="Times New Roman" w:cs="Times New Roman"/>
          <w:sz w:val="28"/>
          <w:szCs w:val="28"/>
        </w:rPr>
        <w:t xml:space="preserve"> поселения, Положению о бюджетном</w:t>
      </w:r>
      <w:r w:rsidR="00953E8F">
        <w:rPr>
          <w:rFonts w:ascii="Times New Roman" w:hAnsi="Times New Roman" w:cs="Times New Roman"/>
          <w:sz w:val="28"/>
          <w:szCs w:val="28"/>
        </w:rPr>
        <w:t xml:space="preserve"> процессе в Молдавановском сельском</w:t>
      </w:r>
      <w:r w:rsidRPr="00ED4130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953E8F">
        <w:rPr>
          <w:rFonts w:ascii="Times New Roman" w:hAnsi="Times New Roman" w:cs="Times New Roman"/>
          <w:sz w:val="28"/>
          <w:szCs w:val="28"/>
        </w:rPr>
        <w:t xml:space="preserve"> и может быть принят к утверждению.</w:t>
      </w:r>
    </w:p>
    <w:p w:rsidR="003526DE" w:rsidRPr="00953E8F" w:rsidRDefault="003526DE" w:rsidP="00953E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30">
        <w:rPr>
          <w:sz w:val="28"/>
          <w:szCs w:val="28"/>
        </w:rPr>
        <w:tab/>
      </w:r>
      <w:r w:rsidRPr="00953E8F">
        <w:rPr>
          <w:rFonts w:ascii="Times New Roman" w:hAnsi="Times New Roman" w:cs="Times New Roman"/>
          <w:sz w:val="28"/>
          <w:szCs w:val="28"/>
        </w:rPr>
        <w:t>При этом отсутствие прогноза социально-экономического развития, содержащего показатели и характеристики макроэкономической</w:t>
      </w:r>
      <w:r w:rsidR="00953E8F">
        <w:rPr>
          <w:rFonts w:ascii="Times New Roman" w:hAnsi="Times New Roman" w:cs="Times New Roman"/>
          <w:sz w:val="28"/>
          <w:szCs w:val="28"/>
        </w:rPr>
        <w:t xml:space="preserve"> ситуации Молдавановского сельского</w:t>
      </w:r>
      <w:r w:rsidRPr="00953E8F">
        <w:rPr>
          <w:rFonts w:ascii="Times New Roman" w:hAnsi="Times New Roman" w:cs="Times New Roman"/>
          <w:sz w:val="28"/>
          <w:szCs w:val="28"/>
        </w:rPr>
        <w:t xml:space="preserve"> поселения, не позволяет сделать вывод о соблюдении принципов эффективности использования бюджетных средств и достоверности бюджета</w:t>
      </w:r>
      <w:r w:rsidRPr="00ED4130">
        <w:rPr>
          <w:sz w:val="28"/>
          <w:szCs w:val="28"/>
        </w:rPr>
        <w:t>.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</w:p>
    <w:p w:rsidR="003526DE" w:rsidRPr="00ED4130" w:rsidRDefault="003526DE" w:rsidP="003526DE">
      <w:pPr>
        <w:jc w:val="both"/>
        <w:rPr>
          <w:sz w:val="28"/>
          <w:szCs w:val="28"/>
        </w:rPr>
      </w:pPr>
      <w:r w:rsidRPr="00ED4130">
        <w:rPr>
          <w:sz w:val="28"/>
          <w:szCs w:val="28"/>
        </w:rPr>
        <w:t>Председатель контрольно-счетного органа</w:t>
      </w:r>
    </w:p>
    <w:p w:rsidR="003526DE" w:rsidRPr="00ED4130" w:rsidRDefault="003526DE" w:rsidP="003526DE">
      <w:pPr>
        <w:jc w:val="both"/>
        <w:rPr>
          <w:sz w:val="28"/>
          <w:szCs w:val="28"/>
        </w:rPr>
      </w:pPr>
      <w:r w:rsidRPr="00ED4130">
        <w:rPr>
          <w:sz w:val="28"/>
          <w:szCs w:val="28"/>
        </w:rPr>
        <w:t>Ольгинского муниципального района</w:t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</w:r>
      <w:r w:rsidRPr="00ED4130">
        <w:rPr>
          <w:sz w:val="28"/>
          <w:szCs w:val="28"/>
        </w:rPr>
        <w:tab/>
        <w:t>Т.П. Альшанская</w:t>
      </w:r>
    </w:p>
    <w:p w:rsidR="003526DE" w:rsidRPr="00ED4130" w:rsidRDefault="003526DE" w:rsidP="003526DE">
      <w:pPr>
        <w:spacing w:line="360" w:lineRule="auto"/>
        <w:jc w:val="both"/>
        <w:rPr>
          <w:sz w:val="28"/>
          <w:szCs w:val="28"/>
        </w:rPr>
      </w:pPr>
    </w:p>
    <w:p w:rsidR="003526DE" w:rsidRPr="00ED4130" w:rsidRDefault="003526DE" w:rsidP="003526DE"/>
    <w:p w:rsidR="003526DE" w:rsidRPr="00ED4130" w:rsidRDefault="003526DE" w:rsidP="003526DE"/>
    <w:p w:rsidR="003526DE" w:rsidRPr="00ED4130" w:rsidRDefault="003526DE" w:rsidP="003526DE"/>
    <w:p w:rsidR="00AB310B" w:rsidRDefault="00AB310B"/>
    <w:sectPr w:rsidR="00AB310B" w:rsidSect="00A12BAB">
      <w:head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D1" w:rsidRDefault="00AD5AD1" w:rsidP="00AE0EDA">
      <w:r>
        <w:separator/>
      </w:r>
    </w:p>
  </w:endnote>
  <w:endnote w:type="continuationSeparator" w:id="1">
    <w:p w:rsidR="00AD5AD1" w:rsidRDefault="00AD5AD1" w:rsidP="00AE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D1" w:rsidRDefault="00AD5AD1" w:rsidP="00AE0EDA">
      <w:r>
        <w:separator/>
      </w:r>
    </w:p>
  </w:footnote>
  <w:footnote w:type="continuationSeparator" w:id="1">
    <w:p w:rsidR="00AD5AD1" w:rsidRDefault="00AD5AD1" w:rsidP="00AE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34" w:rsidRDefault="002672DD">
    <w:pPr>
      <w:pStyle w:val="a3"/>
      <w:jc w:val="center"/>
    </w:pPr>
    <w:fldSimple w:instr=" PAGE   \* MERGEFORMAT ">
      <w:r w:rsidR="00824C68">
        <w:rPr>
          <w:noProof/>
        </w:rPr>
        <w:t>15</w:t>
      </w:r>
    </w:fldSimple>
  </w:p>
  <w:p w:rsidR="00D93334" w:rsidRDefault="00D93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A5"/>
    <w:multiLevelType w:val="hybridMultilevel"/>
    <w:tmpl w:val="D2884280"/>
    <w:lvl w:ilvl="0" w:tplc="3F4E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0961"/>
    <w:multiLevelType w:val="hybridMultilevel"/>
    <w:tmpl w:val="43047DF0"/>
    <w:lvl w:ilvl="0" w:tplc="7F72A61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440EF9"/>
    <w:multiLevelType w:val="hybridMultilevel"/>
    <w:tmpl w:val="D2825A8A"/>
    <w:lvl w:ilvl="0" w:tplc="88B4E9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8407523"/>
    <w:multiLevelType w:val="hybridMultilevel"/>
    <w:tmpl w:val="98624E1E"/>
    <w:lvl w:ilvl="0" w:tplc="E38E66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1810E2C"/>
    <w:multiLevelType w:val="multilevel"/>
    <w:tmpl w:val="9BA8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571B5"/>
    <w:multiLevelType w:val="hybridMultilevel"/>
    <w:tmpl w:val="3E441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00093"/>
    <w:multiLevelType w:val="hybridMultilevel"/>
    <w:tmpl w:val="DA6AC56C"/>
    <w:lvl w:ilvl="0" w:tplc="B4C69B7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C35752"/>
    <w:multiLevelType w:val="hybridMultilevel"/>
    <w:tmpl w:val="C31EF4C4"/>
    <w:lvl w:ilvl="0" w:tplc="F75C3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F2358"/>
    <w:multiLevelType w:val="hybridMultilevel"/>
    <w:tmpl w:val="0E6A4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B6755"/>
    <w:multiLevelType w:val="hybridMultilevel"/>
    <w:tmpl w:val="46BE4C00"/>
    <w:lvl w:ilvl="0" w:tplc="992E231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D52265"/>
    <w:multiLevelType w:val="hybridMultilevel"/>
    <w:tmpl w:val="23164D24"/>
    <w:lvl w:ilvl="0" w:tplc="7E88A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C64A2"/>
    <w:multiLevelType w:val="hybridMultilevel"/>
    <w:tmpl w:val="F08CD868"/>
    <w:lvl w:ilvl="0" w:tplc="F2007E9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637A0D2B"/>
    <w:multiLevelType w:val="hybridMultilevel"/>
    <w:tmpl w:val="A84845F6"/>
    <w:lvl w:ilvl="0" w:tplc="FB9E8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F574A"/>
    <w:multiLevelType w:val="multilevel"/>
    <w:tmpl w:val="EA08B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E1BF1"/>
    <w:multiLevelType w:val="hybridMultilevel"/>
    <w:tmpl w:val="E620E7E2"/>
    <w:lvl w:ilvl="0" w:tplc="D6E0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325A8"/>
    <w:multiLevelType w:val="hybridMultilevel"/>
    <w:tmpl w:val="3B047298"/>
    <w:lvl w:ilvl="0" w:tplc="AAF4C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6DE"/>
    <w:rsid w:val="00033086"/>
    <w:rsid w:val="000D4F99"/>
    <w:rsid w:val="001C06FA"/>
    <w:rsid w:val="002223CC"/>
    <w:rsid w:val="002672DD"/>
    <w:rsid w:val="00287D43"/>
    <w:rsid w:val="002B4280"/>
    <w:rsid w:val="00316137"/>
    <w:rsid w:val="003421EE"/>
    <w:rsid w:val="003526DE"/>
    <w:rsid w:val="003936AF"/>
    <w:rsid w:val="00416863"/>
    <w:rsid w:val="004627AC"/>
    <w:rsid w:val="004F7B40"/>
    <w:rsid w:val="005624DB"/>
    <w:rsid w:val="005A7C05"/>
    <w:rsid w:val="005B72B5"/>
    <w:rsid w:val="006C0348"/>
    <w:rsid w:val="006F4E90"/>
    <w:rsid w:val="0070504A"/>
    <w:rsid w:val="007F16C4"/>
    <w:rsid w:val="00824C68"/>
    <w:rsid w:val="00847383"/>
    <w:rsid w:val="008A1FB0"/>
    <w:rsid w:val="00953E8F"/>
    <w:rsid w:val="00963179"/>
    <w:rsid w:val="009E743C"/>
    <w:rsid w:val="00A12BAB"/>
    <w:rsid w:val="00A5435B"/>
    <w:rsid w:val="00AB1479"/>
    <w:rsid w:val="00AB310B"/>
    <w:rsid w:val="00AB48DB"/>
    <w:rsid w:val="00AD5AD1"/>
    <w:rsid w:val="00AE0EDA"/>
    <w:rsid w:val="00B26F9C"/>
    <w:rsid w:val="00B27BB3"/>
    <w:rsid w:val="00BE3C6B"/>
    <w:rsid w:val="00CA4C26"/>
    <w:rsid w:val="00CD76EC"/>
    <w:rsid w:val="00D21F54"/>
    <w:rsid w:val="00D93334"/>
    <w:rsid w:val="00DA2BE6"/>
    <w:rsid w:val="00DD339C"/>
    <w:rsid w:val="00E107A2"/>
    <w:rsid w:val="00E67D9C"/>
    <w:rsid w:val="00E713BE"/>
    <w:rsid w:val="00E72D55"/>
    <w:rsid w:val="00EB32FC"/>
    <w:rsid w:val="00EC7512"/>
    <w:rsid w:val="00ED04E4"/>
    <w:rsid w:val="00EF72F3"/>
    <w:rsid w:val="00F072E7"/>
    <w:rsid w:val="00F335DE"/>
    <w:rsid w:val="00FD262A"/>
    <w:rsid w:val="00F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DE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2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26DE"/>
    <w:pPr>
      <w:keepNext/>
      <w:suppressAutoHyphens/>
      <w:jc w:val="center"/>
      <w:outlineLvl w:val="2"/>
    </w:pPr>
    <w:rPr>
      <w:rFonts w:ascii="Arial" w:eastAsia="Calibri" w:hAnsi="Arial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3526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D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26DE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26DE"/>
    <w:rPr>
      <w:rFonts w:ascii="Arial" w:eastAsia="Calibri" w:hAnsi="Arial" w:cs="Arial"/>
      <w:b/>
      <w:bCs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526DE"/>
    <w:rPr>
      <w:rFonts w:eastAsia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3526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26DE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3526DE"/>
    <w:pPr>
      <w:widowControl w:val="0"/>
      <w:spacing w:line="240" w:lineRule="auto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Стиль в законе"/>
    <w:basedOn w:val="a"/>
    <w:rsid w:val="003526DE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Body Text"/>
    <w:basedOn w:val="a"/>
    <w:link w:val="a7"/>
    <w:autoRedefine/>
    <w:rsid w:val="003526DE"/>
    <w:pPr>
      <w:spacing w:line="360" w:lineRule="auto"/>
      <w:ind w:firstLine="720"/>
      <w:jc w:val="both"/>
    </w:pPr>
    <w:rPr>
      <w:bCs/>
    </w:rPr>
  </w:style>
  <w:style w:type="character" w:customStyle="1" w:styleId="a7">
    <w:name w:val="Основной текст Знак"/>
    <w:basedOn w:val="a0"/>
    <w:link w:val="a6"/>
    <w:rsid w:val="003526DE"/>
    <w:rPr>
      <w:rFonts w:eastAsia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526DE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526DE"/>
    <w:rPr>
      <w:rFonts w:eastAsia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rsid w:val="003526DE"/>
    <w:pPr>
      <w:ind w:left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526DE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rsid w:val="003526DE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3526DE"/>
    <w:rPr>
      <w:rFonts w:eastAsia="Times New Roman"/>
      <w:sz w:val="24"/>
      <w:szCs w:val="24"/>
      <w:lang w:eastAsia="ru-RU"/>
    </w:rPr>
  </w:style>
  <w:style w:type="paragraph" w:customStyle="1" w:styleId="defscrRUSTxtStyleText">
    <w:name w:val="defscr_RUS_TxtStyleText"/>
    <w:basedOn w:val="a"/>
    <w:rsid w:val="003526DE"/>
    <w:pPr>
      <w:widowControl w:val="0"/>
      <w:spacing w:before="120"/>
      <w:ind w:firstLine="425"/>
      <w:jc w:val="both"/>
    </w:pPr>
    <w:rPr>
      <w:noProof/>
      <w:color w:val="000000"/>
      <w:szCs w:val="20"/>
    </w:rPr>
  </w:style>
  <w:style w:type="paragraph" w:customStyle="1" w:styleId="Default">
    <w:name w:val="Default"/>
    <w:rsid w:val="003526DE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3526DE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3526DE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ЭЭГ"/>
    <w:basedOn w:val="a"/>
    <w:rsid w:val="003526DE"/>
    <w:pPr>
      <w:spacing w:line="360" w:lineRule="auto"/>
      <w:ind w:firstLine="720"/>
      <w:jc w:val="both"/>
    </w:pPr>
    <w:rPr>
      <w:szCs w:val="20"/>
    </w:rPr>
  </w:style>
  <w:style w:type="paragraph" w:customStyle="1" w:styleId="ConsNonformat">
    <w:name w:val="ConsNonformat"/>
    <w:rsid w:val="003526D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526DE"/>
    <w:pPr>
      <w:ind w:left="720"/>
      <w:contextualSpacing/>
    </w:pPr>
  </w:style>
  <w:style w:type="paragraph" w:styleId="ab">
    <w:name w:val="footer"/>
    <w:basedOn w:val="a"/>
    <w:link w:val="ac"/>
    <w:unhideWhenUsed/>
    <w:rsid w:val="00352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26DE"/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3526D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26DE"/>
    <w:rPr>
      <w:rFonts w:eastAsia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526DE"/>
    <w:rPr>
      <w:i/>
      <w:iCs/>
    </w:rPr>
  </w:style>
  <w:style w:type="character" w:customStyle="1" w:styleId="af0">
    <w:name w:val="Текст выноски Знак"/>
    <w:basedOn w:val="a0"/>
    <w:link w:val="af1"/>
    <w:semiHidden/>
    <w:rsid w:val="003526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3526D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uiPriority w:val="99"/>
    <w:semiHidden/>
    <w:rsid w:val="003526D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3526DE"/>
  </w:style>
  <w:style w:type="paragraph" w:styleId="af3">
    <w:name w:val="No Spacing"/>
    <w:qFormat/>
    <w:rsid w:val="003526DE"/>
    <w:pPr>
      <w:suppressAutoHyphens/>
      <w:spacing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af4">
    <w:name w:val="Нормальный"/>
    <w:rsid w:val="003526D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rsid w:val="003526DE"/>
    <w:rPr>
      <w:rFonts w:ascii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3526DE"/>
    <w:rPr>
      <w:rFonts w:ascii="Calibri" w:eastAsia="Times New Roman" w:hAnsi="Calibri"/>
      <w:sz w:val="20"/>
      <w:szCs w:val="20"/>
    </w:rPr>
  </w:style>
  <w:style w:type="character" w:styleId="af7">
    <w:name w:val="footnote reference"/>
    <w:aliases w:val="текст сноски"/>
    <w:rsid w:val="003526DE"/>
    <w:rPr>
      <w:vertAlign w:val="superscript"/>
    </w:rPr>
  </w:style>
  <w:style w:type="character" w:customStyle="1" w:styleId="af8">
    <w:name w:val="Гипертекстовая ссылка"/>
    <w:rsid w:val="003526DE"/>
    <w:rPr>
      <w:b/>
      <w:bCs/>
      <w:color w:val="106BBE"/>
      <w:sz w:val="26"/>
      <w:szCs w:val="26"/>
    </w:rPr>
  </w:style>
  <w:style w:type="character" w:customStyle="1" w:styleId="af9">
    <w:name w:val="Текст концевой сноски Знак"/>
    <w:basedOn w:val="a0"/>
    <w:link w:val="afa"/>
    <w:semiHidden/>
    <w:rsid w:val="003526DE"/>
    <w:rPr>
      <w:rFonts w:eastAsia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3526DE"/>
    <w:rPr>
      <w:sz w:val="20"/>
      <w:szCs w:val="20"/>
    </w:rPr>
  </w:style>
  <w:style w:type="character" w:customStyle="1" w:styleId="12">
    <w:name w:val="Текст концевой сноски Знак1"/>
    <w:basedOn w:val="a0"/>
    <w:link w:val="afa"/>
    <w:uiPriority w:val="99"/>
    <w:semiHidden/>
    <w:rsid w:val="003526DE"/>
    <w:rPr>
      <w:rFonts w:eastAsia="Times New Roman"/>
      <w:sz w:val="20"/>
      <w:szCs w:val="20"/>
      <w:lang w:eastAsia="ru-RU"/>
    </w:rPr>
  </w:style>
  <w:style w:type="paragraph" w:customStyle="1" w:styleId="13">
    <w:name w:val="Обычный1"/>
    <w:rsid w:val="003526DE"/>
    <w:pPr>
      <w:spacing w:line="240" w:lineRule="auto"/>
      <w:jc w:val="left"/>
    </w:pPr>
    <w:rPr>
      <w:rFonts w:eastAsia="Times New Roman"/>
      <w:sz w:val="26"/>
      <w:szCs w:val="20"/>
      <w:lang w:eastAsia="ru-RU"/>
    </w:rPr>
  </w:style>
  <w:style w:type="character" w:customStyle="1" w:styleId="FootnoteTextChar">
    <w:name w:val="Footnote Text Char"/>
    <w:locked/>
    <w:rsid w:val="003526DE"/>
    <w:rPr>
      <w:rFonts w:ascii="Calibri" w:hAnsi="Calibri"/>
      <w:lang w:val="ru-RU" w:eastAsia="en-US" w:bidi="ar-SA"/>
    </w:rPr>
  </w:style>
  <w:style w:type="character" w:styleId="afb">
    <w:name w:val="Strong"/>
    <w:basedOn w:val="a0"/>
    <w:uiPriority w:val="22"/>
    <w:qFormat/>
    <w:rsid w:val="003526DE"/>
    <w:rPr>
      <w:b/>
      <w:bCs/>
    </w:rPr>
  </w:style>
  <w:style w:type="paragraph" w:customStyle="1" w:styleId="afc">
    <w:name w:val="a"/>
    <w:basedOn w:val="a"/>
    <w:rsid w:val="003526DE"/>
    <w:pPr>
      <w:ind w:firstLine="709"/>
      <w:jc w:val="both"/>
    </w:pPr>
    <w:rPr>
      <w:rFonts w:ascii="Tahoma" w:hAnsi="Tahoma" w:cs="Tahoma"/>
      <w:sz w:val="20"/>
      <w:szCs w:val="20"/>
    </w:rPr>
  </w:style>
  <w:style w:type="character" w:styleId="afd">
    <w:name w:val="Hyperlink"/>
    <w:basedOn w:val="a0"/>
    <w:uiPriority w:val="99"/>
    <w:semiHidden/>
    <w:unhideWhenUsed/>
    <w:rsid w:val="00462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CA5D-A3C0-48B1-AE09-1F940A2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2017-11-28T06:12:00Z</cp:lastPrinted>
  <dcterms:created xsi:type="dcterms:W3CDTF">2017-11-28T23:55:00Z</dcterms:created>
  <dcterms:modified xsi:type="dcterms:W3CDTF">2017-11-28T23:55:00Z</dcterms:modified>
</cp:coreProperties>
</file>